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aaa146d1f44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Low, Ramel, Ryu, Eslick, Timmons, Paul, Ramos, Reed, Chapman, Ormsby, Graham, Doglio, Sandlin, Lekanoff, Tharinger, and Santos</w:t>
      </w:r>
    </w:p>
    <w:p/>
    <w:p>
      <w:r>
        <w:rPr>
          <w:t xml:space="preserve">Prefiled 12/19/23.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moneys from the rural public facilities sales and use tax for affordable workforce housing infrastructure and facilities;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2023 c 411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w:t>
      </w:r>
      <w:r>
        <w:t>((</w:t>
      </w:r>
      <w:r>
        <w:rPr>
          <w:strike/>
        </w:rPr>
        <w:t xml:space="preserve">finance</w:t>
      </w:r>
      <w:r>
        <w:t>))</w:t>
      </w:r>
      <w:r>
        <w:rPr>
          <w:u w:val="single"/>
        </w:rPr>
        <w:t xml:space="preserve">:</w:t>
      </w:r>
    </w:p>
    <w:p>
      <w:pPr>
        <w:spacing w:before="0" w:after="0" w:line="408" w:lineRule="exact"/>
        <w:ind w:left="0" w:right="0" w:firstLine="576"/>
        <w:jc w:val="left"/>
      </w:pPr>
      <w:r>
        <w:rPr>
          <w:u w:val="single"/>
        </w:rPr>
        <w:t xml:space="preserve">(i) Finance</w:t>
      </w:r>
      <w:r>
        <w:rPr/>
        <w:t xml:space="preserve"> public facilities serving economic development purposes in rural counties </w:t>
      </w:r>
      <w:r>
        <w:t>((</w:t>
      </w:r>
      <w:r>
        <w:rPr>
          <w:strike/>
        </w:rPr>
        <w:t xml:space="preserve">and finance</w:t>
      </w:r>
      <w:r>
        <w:t>))</w:t>
      </w:r>
      <w:r>
        <w:rPr>
          <w:u w:val="single"/>
        </w:rPr>
        <w:t xml:space="preserve">;</w:t>
      </w:r>
    </w:p>
    <w:p>
      <w:pPr>
        <w:spacing w:before="0" w:after="0" w:line="408" w:lineRule="exact"/>
        <w:ind w:left="0" w:right="0" w:firstLine="576"/>
        <w:jc w:val="left"/>
      </w:pPr>
      <w:r>
        <w:rPr>
          <w:u w:val="single"/>
        </w:rPr>
        <w:t xml:space="preserve">(ii) Finance the construction of affordable workforce housing infrastructure or facilities; and</w:t>
      </w:r>
    </w:p>
    <w:p>
      <w:pPr>
        <w:spacing w:before="0" w:after="0" w:line="408" w:lineRule="exact"/>
        <w:ind w:left="0" w:right="0" w:firstLine="576"/>
        <w:jc w:val="left"/>
      </w:pPr>
      <w:r>
        <w:rPr>
          <w:u w:val="single"/>
        </w:rPr>
        <w:t xml:space="preserve">(iii) Finance</w:t>
      </w:r>
      <w:r>
        <w:rPr/>
        <w:t xml:space="preserve"> personnel in economic development offices. </w:t>
      </w:r>
    </w:p>
    <w:p>
      <w:pPr>
        <w:spacing w:before="0" w:after="0" w:line="408" w:lineRule="exact"/>
        <w:ind w:left="0" w:right="0" w:firstLine="576"/>
        <w:jc w:val="left"/>
      </w:pPr>
      <w:r>
        <w:rPr>
          <w:u w:val="single"/>
        </w:rPr>
        <w:t xml:space="preserve">(b)</w:t>
      </w:r>
      <w:r>
        <w:rPr/>
        <w:t xml:space="preserve">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In implementing this section, the county must consult with cities, towns, and port districts located within the county and the associate development organization serving the county to ensure that the expenditure of money collected under this section meets the goals of creating, attracting, expanding, and retaining businesses, providing family-wage jobs, and providing affordable workforce housing infrastructure or facilities and the use of money collected under this section meets the requirements of (a) </w:t>
      </w:r>
      <w:r>
        <w:rPr>
          <w:u w:val="single"/>
        </w:rPr>
        <w:t xml:space="preserve">and (b)</w:t>
      </w:r>
      <w:r>
        <w:rPr/>
        <w:t xml:space="preserve"> of this subsection. Each county collecting money under this section must provide a report to the office of the state auditor within 150 days after the close of each fiscal year 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definitions in this section apply throughout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rPr>
          <w:u w:val="single"/>
        </w:rPr>
        <w:t xml:space="preserve">or</w:t>
      </w:r>
      <w:r>
        <w:rPr/>
        <w:t xml:space="preserve"> port facilities in the state of Washington</w:t>
      </w:r>
      <w:r>
        <w:t>((</w:t>
      </w:r>
      <w:r>
        <w:rPr>
          <w:strike/>
        </w:rPr>
        <w:t xml:space="preserve">, or affordable workforce housing infrastructure or facilities</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"Affordable workforce housing infrastructure or facilities" means housing infrastructure </w:t>
      </w:r>
      <w:r>
        <w:t>((</w:t>
      </w:r>
      <w:r>
        <w:rPr>
          <w:strike/>
        </w:rPr>
        <w:t xml:space="preserve">or</w:t>
      </w:r>
      <w:r>
        <w:t>))</w:t>
      </w:r>
      <w:r>
        <w:rPr>
          <w:u w:val="single"/>
        </w:rPr>
        <w:t xml:space="preserve">,</w:t>
      </w:r>
      <w:r>
        <w:rPr/>
        <w:t xml:space="preserve"> facilities</w:t>
      </w:r>
      <w:r>
        <w:rPr>
          <w:u w:val="single"/>
        </w:rPr>
        <w:t xml:space="preserve">, or land</w:t>
      </w:r>
      <w:r>
        <w:rPr/>
        <w:t xml:space="preserve"> that a qualifying provider </w:t>
      </w:r>
      <w:r>
        <w:rPr>
          <w:u w:val="single"/>
        </w:rPr>
        <w:t xml:space="preserve">owns or</w:t>
      </w:r>
      <w:r>
        <w:rPr/>
        <w:t xml:space="preserve"> uses for housing for </w:t>
      </w:r>
      <w:r>
        <w:t>((</w:t>
      </w:r>
      <w:r>
        <w:rPr>
          <w:strike/>
        </w:rPr>
        <w:t xml:space="preserve">a</w:t>
      </w:r>
      <w:r>
        <w:t>))</w:t>
      </w:r>
      <w:r>
        <w:rPr/>
        <w:t xml:space="preserve"> single person</w:t>
      </w:r>
      <w:r>
        <w:rPr>
          <w:u w:val="single"/>
        </w:rPr>
        <w:t xml:space="preserve">s</w:t>
      </w:r>
      <w:r>
        <w:rPr/>
        <w:t xml:space="preserve">, </w:t>
      </w:r>
      <w:r>
        <w:t>((</w:t>
      </w:r>
      <w:r>
        <w:rPr>
          <w:strike/>
        </w:rPr>
        <w:t xml:space="preserve">family</w:t>
      </w:r>
      <w:r>
        <w:t>))</w:t>
      </w:r>
      <w:r>
        <w:rPr/>
        <w:t xml:space="preserve"> </w:t>
      </w:r>
      <w:r>
        <w:rPr>
          <w:u w:val="single"/>
        </w:rPr>
        <w:t xml:space="preserve">families</w:t>
      </w:r>
      <w:r>
        <w:rPr/>
        <w:t xml:space="preserve">,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before August 1, 2009, and meeting the definition of a rural county as of August 1, 2009, the tax expires December 31, 2054.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December 31, 2024, the state auditor must provide a publicly accessible report on its website containing the project information and other expenditure information included in the annual report required under subsection (3)</w:t>
      </w:r>
      <w:r>
        <w:t>((</w:t>
      </w:r>
      <w:r>
        <w:rPr>
          <w:strike/>
        </w:rPr>
        <w:t xml:space="preserve">(b)</w:t>
      </w:r>
      <w:r>
        <w:t>))</w:t>
      </w:r>
      <w:r>
        <w:rPr/>
        <w:t xml:space="preserve"> </w:t>
      </w:r>
      <w:r>
        <w:rPr>
          <w:u w:val="single"/>
        </w:rPr>
        <w:t xml:space="preserve">(c)</w:t>
      </w:r>
      <w:r>
        <w:rPr/>
        <w:t xml:space="preserve">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"rural county" means a county with a population density of less than 100 persons per square mile or a county smaller than 225 square miles as determined by the office of financial management pursuant to RCW 43.62.035.</w:t>
      </w:r>
    </w:p>
    <w:p/>
    <w:p>
      <w:pPr>
        <w:jc w:val="center"/>
      </w:pPr>
      <w:r>
        <w:rPr>
          <w:b/>
        </w:rPr>
        <w:t>--- END ---</w:t>
      </w:r>
    </w:p>
    <w:sectPr>
      <w:pgNumType w:start="1"/>
      <w:footerReference xmlns:r="http://schemas.openxmlformats.org/officeDocument/2006/relationships" r:id="Rf8b5db7b2b8d4b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31bf32ece4b7e" /><Relationship Type="http://schemas.openxmlformats.org/officeDocument/2006/relationships/footer" Target="/word/footer1.xml" Id="Rf8b5db7b2b8d4b7d" /></Relationships>
</file>