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da27d3f294c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2039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72</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Fitzgibbon, Ramel, Reed, Ormsby, Fosse, and Duerr)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appeals process for environmental and land use matters; amending RCW 34.05.518, 34.05.518, 90.58.180, 70A.230.080, 70A.300.120, 70A.430.070, 86.16.081, 70A.500.260, and 36.70C.040; reenacting and amending RCW 43.21B.110 and 43.21B.300; adding a new section to chapter 43.21B RCW; repealing RCW 70A.205.145;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2 are each amended to read as follows:</w:t>
      </w:r>
    </w:p>
    <w:p>
      <w:pPr>
        <w:spacing w:before="0" w:after="0" w:line="408" w:lineRule="exact"/>
        <w:ind w:left="0" w:right="0" w:firstLine="576"/>
        <w:jc w:val="left"/>
      </w:pPr>
      <w:r>
        <w:rPr/>
        <w:t xml:space="preserve">(1)</w:t>
      </w:r>
      <w:r>
        <w:rPr>
          <w:u w:val="single"/>
        </w:rPr>
        <w:t xml:space="preserve">(a)</w:t>
      </w:r>
      <w:r>
        <w:rPr/>
        <w:t xml:space="preserve"> The final decision of an administrative agency in an adjudicative proceeding under this chapter may be directly reviewed by the court of appeals </w:t>
      </w:r>
      <w:r>
        <w:t>((</w:t>
      </w:r>
      <w:r>
        <w:rPr>
          <w:strike/>
        </w:rPr>
        <w:t xml:space="preserve">upon</w:t>
      </w:r>
      <w:r>
        <w:t>))</w:t>
      </w:r>
      <w:r>
        <w:rPr/>
        <w:t xml:space="preserve"> </w:t>
      </w:r>
      <w:r>
        <w:rPr>
          <w:u w:val="single"/>
        </w:rPr>
        <w:t xml:space="preserve">either: (i) Upon</w:t>
      </w:r>
      <w:r>
        <w:rPr/>
        <w:t xml:space="preserve"> certification by the superior court pursuant to this </w:t>
      </w:r>
      <w:r>
        <w:t>((</w:t>
      </w:r>
      <w:r>
        <w:rPr>
          <w:strike/>
        </w:rPr>
        <w:t xml:space="preserve">section</w:t>
      </w:r>
      <w:r>
        <w:t>))</w:t>
      </w:r>
      <w:r>
        <w:rPr/>
        <w:t xml:space="preserve"> </w:t>
      </w:r>
      <w:r>
        <w:rPr>
          <w:u w:val="single"/>
        </w:rPr>
        <w:t xml:space="preserve">subsection and subsections (2) and (3) of this section; or (ii) if the final decision is from an environmental board as identified in RCW 43.21B.005 and the final decision relates to a clean energy project as defined in RCW 43.158.010, pursuant to subsection (4) of this section</w:t>
      </w:r>
      <w:r>
        <w:rPr/>
        <w:t xml:space="preserve">.</w:t>
      </w:r>
    </w:p>
    <w:p>
      <w:pPr>
        <w:spacing w:before="0" w:after="0" w:line="408" w:lineRule="exact"/>
        <w:ind w:left="0" w:right="0" w:firstLine="576"/>
        <w:jc w:val="left"/>
      </w:pPr>
      <w:r>
        <w:t>((</w:t>
      </w:r>
      <w:r>
        <w:rPr>
          <w:strike/>
        </w:rPr>
        <w:t xml:space="preserve">Transfer of cases pursuant to this section does not require the filing of a motion for discretionary review with the court of appeals.</w:t>
      </w:r>
      <w:r>
        <w:t>))</w:t>
      </w:r>
      <w:r>
        <w:rPr/>
        <w:t xml:space="preserve"> </w:t>
      </w:r>
      <w:r>
        <w:rPr>
          <w:u w:val="single"/>
        </w:rPr>
        <w:t xml:space="preserve">(b)</w:t>
      </w:r>
      <w:r>
        <w:rPr/>
        <w:t xml:space="preserve"> The superior court may certify cases for transfer to the court of appeals upon finding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t xml:space="preserve">(2)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t xml:space="preserve">(3) A party contesting a superior court decision granting or denying certification for direct review may file a motion for discretionary review with the court of appeals.</w:t>
      </w:r>
    </w:p>
    <w:p>
      <w:pPr>
        <w:spacing w:before="0" w:after="0" w:line="408" w:lineRule="exact"/>
        <w:ind w:left="0" w:right="0" w:firstLine="576"/>
        <w:jc w:val="left"/>
      </w:pPr>
      <w:r>
        <w:rPr>
          <w:u w:val="single"/>
        </w:rPr>
        <w:t xml:space="preserve">(4)(a) For the 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0" w:after="0" w:line="408" w:lineRule="exact"/>
        <w:ind w:left="0" w:right="0" w:firstLine="576"/>
        <w:jc w:val="left"/>
      </w:pPr>
      <w:r>
        <w:rPr>
          <w:u w:val="single"/>
        </w:rPr>
        <w:t xml:space="preserve">(5) Transfer of cases pursuant to this section does not require the filing of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 be directly reviewed by the court of appeals either (a) upon certification by the superior court pursuant to </w:t>
      </w:r>
      <w:r>
        <w:rPr>
          <w:u w:val="single"/>
        </w:rPr>
        <w:t xml:space="preserve">subsection (2) of</w:t>
      </w:r>
      <w:r>
        <w:rPr/>
        <w:t xml:space="preserve"> this section </w:t>
      </w:r>
      <w:r>
        <w:t>((</w:t>
      </w:r>
      <w:r>
        <w:rPr>
          <w:strike/>
        </w:rPr>
        <w:t xml:space="preserve">or</w:t>
      </w:r>
      <w:r>
        <w:t>))</w:t>
      </w:r>
      <w:r>
        <w:rPr>
          <w:u w:val="single"/>
        </w:rPr>
        <w:t xml:space="preserve">;</w:t>
      </w:r>
      <w:r>
        <w:rPr/>
        <w:t xml:space="preserve"> (b) if the final decision is from an environmental board as </w:t>
      </w:r>
      <w:r>
        <w:t>((</w:t>
      </w:r>
      <w:r>
        <w:rPr>
          <w:strike/>
        </w:rPr>
        <w:t xml:space="preserve">defined in</w:t>
      </w:r>
      <w:r>
        <w:t>))</w:t>
      </w:r>
      <w:r>
        <w:rPr/>
        <w:t xml:space="preserve"> </w:t>
      </w:r>
      <w:r>
        <w:rPr>
          <w:u w:val="single"/>
        </w:rPr>
        <w:t xml:space="preserve">identified in RCW 43.21B.005 and the final decision relates to a clean energy project as defined in RCW 43.158.010, pursuant to</w:t>
      </w:r>
      <w:r>
        <w:rPr/>
        <w:t xml:space="preserve"> subsection (3) of this section</w:t>
      </w:r>
      <w:r>
        <w:t>((</w:t>
      </w:r>
      <w:r>
        <w:rPr>
          <w:strike/>
        </w:rPr>
        <w:t xml:space="preserve">, upon acceptance by the court of appeals after a certificate of appealability has been filed by the environmental board that rendered the final decision</w:t>
      </w:r>
      <w:r>
        <w:t>))</w:t>
      </w:r>
      <w:r>
        <w:rPr>
          <w:u w:val="single"/>
        </w:rPr>
        <w:t xml:space="preserve">; or (c) if the final decision is from an environmental board identified in RCW 43.21B.005 and the final decision does not relate to a clean energy project as defined in RCW 43.158.010, pursuant to subsection (4) of this section. Transfer of a case pursuant to subsections (3) or (4) of this section does not require the filing of a motion for discretionary review with the court of appeals</w:t>
      </w:r>
      <w:r>
        <w:rPr/>
        <w:t xml:space="preserve">.</w:t>
      </w:r>
    </w:p>
    <w:p>
      <w:pPr>
        <w:spacing w:before="0" w:after="0" w:line="408" w:lineRule="exact"/>
        <w:ind w:left="0" w:right="0" w:firstLine="576"/>
        <w:jc w:val="left"/>
      </w:pPr>
      <w:r>
        <w:rPr/>
        <w:t xml:space="preserve">(2)</w:t>
      </w:r>
      <w:r>
        <w:rPr>
          <w:u w:val="single"/>
        </w:rPr>
        <w:t xml:space="preserve">(a)</w:t>
      </w:r>
      <w:r>
        <w:rPr/>
        <w:t xml:space="preserve">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Fundamental and urgent issues affecting the future administrative process or the public interest are involved which require a prompt determination;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Delay in obtaining a final and prompt determination of such issues would be detrimental to any party or the public interest;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appeal to the court of appeals would be likely regardless of the determination in superior court;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appellate court's determination in the proceeding would have significant precedential value.</w:t>
      </w:r>
    </w:p>
    <w:p>
      <w:pPr>
        <w:spacing w:before="0" w:after="0" w:line="408" w:lineRule="exact"/>
        <w:ind w:left="0" w:right="0" w:firstLine="576"/>
        <w:jc w:val="left"/>
      </w:pPr>
      <w:r>
        <w:rPr>
          <w:u w:val="single"/>
        </w:rPr>
        <w:t xml:space="preserve">(b)</w:t>
      </w:r>
      <w:r>
        <w:rPr/>
        <w:t xml:space="preserve"> Procedures for certification shall be established by court rule.</w:t>
      </w:r>
    </w:p>
    <w:p>
      <w:pPr>
        <w:spacing w:before="0" w:after="0" w:line="408" w:lineRule="exact"/>
        <w:ind w:left="0" w:right="0" w:firstLine="576"/>
        <w:jc w:val="left"/>
      </w:pPr>
      <w:r>
        <w:rPr/>
        <w:t xml:space="preserve">(3)(a) For the </w:t>
      </w:r>
      <w:r>
        <w:t>((</w:t>
      </w:r>
      <w:r>
        <w:rPr>
          <w:strike/>
        </w:rPr>
        <w:t xml:space="preserve">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superior court.</w:t>
      </w:r>
    </w:p>
    <w:p>
      <w:pPr>
        <w:spacing w:before="0" w:after="0" w:line="408" w:lineRule="exact"/>
        <w:ind w:left="0" w:right="0" w:firstLine="576"/>
        <w:jc w:val="left"/>
      </w:pPr>
      <w:r>
        <w:rPr>
          <w:u w:val="single"/>
        </w:rPr>
        <w:t xml:space="preserve">(4)(a) The final adjudicative decision of an environmental board, as identified in RCW 43.21B.005, that does not relate to a clean energy project as defined in RCW 43.158.010, may be directly reviewed by the court of appeals upon certification by the superior court pursuant to this subsection. The superior court shall certify cases for transfer to the court of appeals upon finding that:</w:t>
      </w:r>
    </w:p>
    <w:p>
      <w:pPr>
        <w:spacing w:before="0" w:after="0" w:line="408" w:lineRule="exact"/>
        <w:ind w:left="0" w:right="0" w:firstLine="576"/>
        <w:jc w:val="left"/>
      </w:pPr>
      <w:r>
        <w:rPr>
          <w:u w:val="single"/>
        </w:rPr>
        <w:t xml:space="preserve">(i)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(A)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(B)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21B</w:t>
      </w:r>
      <w:r>
        <w:rPr/>
        <w:t xml:space="preserve"> RCW</w:t>
      </w:r>
      <w:r>
        <w:rPr/>
        <w:t xml:space="preserve"> to read as follows:</w:t>
      </w:r>
    </w:p>
    <w:p>
      <w:pPr>
        <w:spacing w:before="0" w:after="0" w:line="408" w:lineRule="exact"/>
        <w:ind w:left="0" w:right="0" w:firstLine="576"/>
        <w:jc w:val="left"/>
      </w:pPr>
      <w:r>
        <w:rPr/>
        <w:t xml:space="preserve">(1) Where multiple permits for the same underlying clean energy project, as defined in RCW 43.158.010, are appealed to one or more of the environmental boards, as identified in RCW 43.21B.005, the presiding officer shall consolidate the appeals for hearing when one or more of the following criteria are met:</w:t>
      </w:r>
    </w:p>
    <w:p>
      <w:pPr>
        <w:spacing w:before="0" w:after="0" w:line="408" w:lineRule="exact"/>
        <w:ind w:left="0" w:right="0" w:firstLine="576"/>
        <w:jc w:val="left"/>
      </w:pPr>
      <w:r>
        <w:rPr/>
        <w:t xml:space="preserve">(a) When appeals for the permits related to the same underlying project are either:</w:t>
      </w:r>
    </w:p>
    <w:p>
      <w:pPr>
        <w:spacing w:before="0" w:after="0" w:line="408" w:lineRule="exact"/>
        <w:ind w:left="0" w:right="0" w:firstLine="576"/>
        <w:jc w:val="left"/>
      </w:pPr>
      <w:r>
        <w:rPr/>
        <w:t xml:space="preserve">(i) Filed within 60 days of each other; or</w:t>
      </w:r>
    </w:p>
    <w:p>
      <w:pPr>
        <w:spacing w:before="0" w:after="0" w:line="408" w:lineRule="exact"/>
        <w:ind w:left="0" w:right="0" w:firstLine="576"/>
        <w:jc w:val="left"/>
      </w:pPr>
      <w:r>
        <w:rPr/>
        <w:t xml:space="preserve">(ii) If the permits are not filed within 60 days of each other and the environmental board issues a stay of the appeal of the permit following the applicant's request. Such a stay must include a stay of the construction of the project pending appeal pursuant to RCW 43.21B.320, to allow other anticipated appeals of permits for the same underlying project to be filed with the environmental boards to accommodate consolidation pursuant to this section, but the environmental board may set a deadline after which an appeal may proceed in the absence of other permit appeals in order to ensure efficient resolution of appeals; or</w:t>
      </w:r>
    </w:p>
    <w:p>
      <w:pPr>
        <w:spacing w:before="0" w:after="0" w:line="408" w:lineRule="exact"/>
        <w:ind w:left="0" w:right="0" w:firstLine="576"/>
        <w:jc w:val="left"/>
      </w:pPr>
      <w:r>
        <w:rPr/>
        <w:t xml:space="preserve">(b) The presiding officer determines that the following three criteria have been met:</w:t>
      </w:r>
    </w:p>
    <w:p>
      <w:pPr>
        <w:spacing w:before="0" w:after="0" w:line="408" w:lineRule="exact"/>
        <w:ind w:left="0" w:right="0" w:firstLine="576"/>
        <w:jc w:val="left"/>
      </w:pPr>
      <w:r>
        <w:rPr/>
        <w:t xml:space="preserve">(i) Consolidation will expedite disposition of the appeals;</w:t>
      </w:r>
    </w:p>
    <w:p>
      <w:pPr>
        <w:spacing w:before="0" w:after="0" w:line="408" w:lineRule="exact"/>
        <w:ind w:left="0" w:right="0" w:firstLine="576"/>
        <w:jc w:val="left"/>
      </w:pPr>
      <w:r>
        <w:rPr/>
        <w:t xml:space="preserve">(ii) Consolidation will avoid duplication of testimony; and</w:t>
      </w:r>
    </w:p>
    <w:p>
      <w:pPr>
        <w:spacing w:before="0" w:after="0" w:line="408" w:lineRule="exact"/>
        <w:ind w:left="0" w:right="0" w:firstLine="576"/>
        <w:jc w:val="left"/>
      </w:pPr>
      <w:r>
        <w:rPr/>
        <w:t xml:space="preserve">(iii) Consolidation will not prejudice the rights of the parties.</w:t>
      </w:r>
    </w:p>
    <w:p>
      <w:pPr>
        <w:spacing w:before="0" w:after="0" w:line="408" w:lineRule="exact"/>
        <w:ind w:left="0" w:right="0" w:firstLine="576"/>
        <w:jc w:val="left"/>
      </w:pPr>
      <w:r>
        <w:rPr/>
        <w:t xml:space="preserve">(2) When all appeals of individual permits consolidated pursuant to this section are within the jurisdiction of the pollution control hearings board, the pollution control hearings board shall retain jurisdiction over the consolidated matter. When all appeals of individual permits consolidated pursuant to this section are within the jurisdiction of the shorelines hearings board, the shorelines hearings board shall retain jurisdiction over the consolidated matter. When appeals to the pollution control hearings board and appeals to the shorelines hearings board are consolidated pursuant to this section, the following applies:</w:t>
      </w:r>
    </w:p>
    <w:p>
      <w:pPr>
        <w:spacing w:before="0" w:after="0" w:line="408" w:lineRule="exact"/>
        <w:ind w:left="0" w:right="0" w:firstLine="576"/>
        <w:jc w:val="left"/>
      </w:pPr>
      <w:r>
        <w:rPr/>
        <w:t xml:space="preserve">(a) The consolidated appeals must be heard by the pollution control hearings board;</w:t>
      </w:r>
    </w:p>
    <w:p>
      <w:pPr>
        <w:spacing w:before="0" w:after="0" w:line="408" w:lineRule="exact"/>
        <w:ind w:left="0" w:right="0" w:firstLine="576"/>
        <w:jc w:val="left"/>
      </w:pPr>
      <w:r>
        <w:rPr/>
        <w:t xml:space="preserve">(b) The pollution control hearings board must issue its decision on the consolidated appeal within 240 days, which must be measured from the date that the last of the consolidated appeals was filed; and</w:t>
      </w:r>
    </w:p>
    <w:p>
      <w:pPr>
        <w:spacing w:before="0" w:after="0" w:line="408" w:lineRule="exact"/>
        <w:ind w:left="0" w:right="0" w:firstLine="576"/>
        <w:jc w:val="left"/>
      </w:pPr>
      <w:r>
        <w:rPr/>
        <w:t xml:space="preserve">(c) The time period in (b) of this subsection may be extended 60 days on a motion from a party or by the pollution control hearings board upon a finding of good cause. The time period in (b) of this subsection may also be waived if agreed to by all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w:t>
      </w:r>
      <w:r>
        <w:rPr>
          <w:u w:val="single"/>
        </w:rPr>
        <w:t xml:space="preserve">(a)</w:t>
      </w:r>
      <w:r>
        <w:rPr/>
        <w:t xml:space="preserve">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u w:val="single"/>
        </w:rPr>
        <w:t xml:space="preserve">(b)</w:t>
      </w:r>
      <w:r>
        <w:rPr/>
        <w:t xml:space="preserve"> 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w:t>
      </w:r>
      <w:r>
        <w:t>((</w:t>
      </w:r>
      <w:r>
        <w:rPr>
          <w:strike/>
        </w:rPr>
        <w:t xml:space="preserve">fifteen</w:t>
      </w:r>
      <w:r>
        <w:t>))</w:t>
      </w:r>
      <w:r>
        <w:rPr/>
        <w:t xml:space="preserve"> </w:t>
      </w:r>
      <w:r>
        <w:rPr>
          <w:u w:val="single"/>
        </w:rPr>
        <w:t xml:space="preserve">15</w:t>
      </w:r>
      <w:r>
        <w:rPr/>
        <w:t xml:space="preserve">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w:t>
      </w:r>
      <w:r>
        <w:t>((</w:t>
      </w:r>
      <w:r>
        <w:rPr>
          <w:strike/>
        </w:rPr>
        <w:t xml:space="preserve">sixty</w:t>
      </w:r>
      <w:r>
        <w:t>))</w:t>
      </w:r>
      <w:r>
        <w:rPr/>
        <w:t xml:space="preserve"> </w:t>
      </w:r>
      <w:r>
        <w:rPr>
          <w:u w:val="single"/>
        </w:rPr>
        <w:t xml:space="preserve">60</w:t>
      </w:r>
      <w:r>
        <w:rPr/>
        <w:t xml:space="preserve">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0" w:after="0" w:line="408" w:lineRule="exact"/>
        <w:ind w:left="0" w:right="0" w:firstLine="576"/>
        <w:jc w:val="left"/>
      </w:pPr>
      <w:r>
        <w:rPr>
          <w:u w:val="single"/>
        </w:rPr>
        <w:t xml:space="preserve">(8) Where multiple permits for the same underlying clean energy project, as defined in RCW 43.158.010, have been appealed to one or more of the environmental boards, as identified in RCW 43.21B.005, the presiding officer shall consolidate the appeals, including appeals to the shorelines hearings board,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70A.230 RCW and</w:t>
      </w:r>
      <w:r>
        <w:rPr/>
        <w:t xml:space="preserve"> RCW 18.104.155, 70A.15.3160, 70A.300.090, 70A.20.050, </w:t>
      </w:r>
      <w:r>
        <w:rPr>
          <w:u w:val="single"/>
        </w:rPr>
        <w:t xml:space="preserve">70A.205.280, 70A.355.070, 70A.430.070, 70A.500.260, 70A.505.100, 70A.505.110,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70A.15.2520, 70A.15.3010, </w:t>
      </w:r>
      <w:r>
        <w:rPr>
          <w:u w:val="single"/>
        </w:rPr>
        <w:t xml:space="preserve">70A.15.4530, 70A.15.6010, 70A.205.280, 70A.214.140,</w:t>
      </w:r>
      <w:r>
        <w:rPr/>
        <w:t xml:space="preserve"> 70A.300.120, 70A.350.070, 70A.245.020, 70A.65.200, 70A.555.110, 70A.560.020, 86.16.020, 88.46.070, </w:t>
      </w:r>
      <w:r>
        <w:rPr>
          <w:u w:val="single"/>
        </w:rPr>
        <w:t xml:space="preserve">90.03.665,</w:t>
      </w:r>
      <w:r>
        <w:rPr/>
        <w:t xml:space="preserve"> 90.14.130, 90.46.250, 90.48.120, </w:t>
      </w:r>
      <w:r>
        <w:t>((</w:t>
      </w:r>
      <w:r>
        <w:rPr>
          <w:strike/>
        </w:rPr>
        <w:t xml:space="preserve">and</w:t>
      </w:r>
      <w:r>
        <w:t>))</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t>((</w:t>
      </w:r>
      <w:r>
        <w:rPr>
          <w:strike/>
        </w:rPr>
        <w:t xml:space="preserve">or</w:t>
      </w:r>
      <w:r>
        <w:t>))</w:t>
      </w:r>
      <w:r>
        <w:rPr/>
        <w:t xml:space="preserve"> a decision to approve or deny </w:t>
      </w:r>
      <w:r>
        <w:rPr>
          <w:u w:val="single"/>
        </w:rPr>
        <w:t xml:space="preserve">a solid waste management plan under RCW 70A.205.055,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70A.205.260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70A.205 RCW</w:t>
      </w:r>
      <w:r>
        <w:rPr>
          <w:u w:val="single"/>
        </w:rPr>
        <w:t xml:space="preserve">, including appeals by the department as provided in RCW 70A.205.130</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70A.205.145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r>
        <w:rPr>
          <w:u w:val="single"/>
        </w:rPr>
        <w:t xml:space="preserve">, except where appeals to the pollution control hearings board and appeals to the shorelines hearings board have been consolidated pursuant to section 3 of this act</w:t>
      </w:r>
      <w:r>
        <w:rPr/>
        <w:t xml:space="preserve">.</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w:t>
      </w:r>
      <w:r>
        <w:rPr>
          <w:u w:val="single"/>
        </w:rPr>
        <w:t xml:space="preserve">70A.230.080,</w:t>
      </w:r>
      <w:r>
        <w:rPr/>
        <w:t xml:space="preserve"> 70A.300.090, 70A.20.050, 70A.245.040, 70A.245.050, 70A.245.070, 70A.245.080, 70A.245.130, 70A.245.140, 70A.65.200, </w:t>
      </w:r>
      <w:r>
        <w:rPr>
          <w:u w:val="single"/>
        </w:rPr>
        <w:t xml:space="preserve">70A.430.070,</w:t>
      </w:r>
      <w:r>
        <w:rPr/>
        <w:t xml:space="preserve"> 70A.455.090, </w:t>
      </w:r>
      <w:r>
        <w:rPr>
          <w:u w:val="single"/>
        </w:rPr>
        <w:t xml:space="preserve">70A.500.260, 70A.505.110,</w:t>
      </w:r>
      <w:r>
        <w:rPr/>
        <w:t xml:space="preserve"> 70A.555.110, 70A.560.020, </w:t>
      </w:r>
      <w:r>
        <w:rPr>
          <w:u w:val="single"/>
        </w:rPr>
        <w:t xml:space="preserve">86.16.081,</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w:t>
      </w:r>
      <w:r>
        <w:t>((</w:t>
      </w:r>
      <w:r>
        <w:rPr>
          <w:strike/>
        </w:rPr>
        <w:t xml:space="preserve">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r>
        <w:t>))</w:t>
      </w:r>
      <w:r>
        <w:rPr/>
        <w:t xml:space="preserve"> </w:t>
      </w:r>
      <w:r>
        <w:rPr>
          <w:u w:val="single"/>
        </w:rPr>
        <w:t xml:space="preserve">the following:</w:t>
      </w:r>
    </w:p>
    <w:p>
      <w:pPr>
        <w:spacing w:before="0" w:after="0" w:line="408" w:lineRule="exact"/>
        <w:ind w:left="0" w:right="0" w:firstLine="576"/>
        <w:jc w:val="left"/>
      </w:pPr>
      <w:r>
        <w:rPr>
          <w:u w:val="single"/>
        </w:rPr>
        <w:t xml:space="preserve">(a) Penalties imposed pursuant to RCW 18.104.155 must be credited to the reclamation account as provided in RCW 18.104.155(7);</w:t>
      </w:r>
    </w:p>
    <w:p>
      <w:pPr>
        <w:spacing w:before="0" w:after="0" w:line="408" w:lineRule="exact"/>
        <w:ind w:left="0" w:right="0" w:firstLine="576"/>
        <w:jc w:val="left"/>
      </w:pPr>
      <w:r>
        <w:rPr>
          <w:u w:val="single"/>
        </w:rPr>
        <w:t xml:space="preserve">(b) Penalties imposed pursuant to RCW 70A.15.3160 must be disposed of pursuant to RCW 70A.15.3160;</w:t>
      </w:r>
    </w:p>
    <w:p>
      <w:pPr>
        <w:spacing w:before="0" w:after="0" w:line="408" w:lineRule="exact"/>
        <w:ind w:left="0" w:right="0" w:firstLine="576"/>
        <w:jc w:val="left"/>
      </w:pPr>
      <w:r>
        <w:rPr>
          <w:u w:val="single"/>
        </w:rPr>
        <w:t xml:space="preserve">(c) Penalties imposed pursuant to RCW 70A.230.080, 70A.300.090, 70A.430.070, 70A.555.110, and 70A.560.020 must be credited to the model toxics control operating account created in RCW 70A.305.180;</w:t>
      </w:r>
    </w:p>
    <w:p>
      <w:pPr>
        <w:spacing w:before="0" w:after="0" w:line="408" w:lineRule="exact"/>
        <w:ind w:left="0" w:right="0" w:firstLine="576"/>
        <w:jc w:val="left"/>
      </w:pPr>
      <w:r>
        <w:rPr>
          <w:u w:val="single"/>
        </w:rPr>
        <w:t xml:space="preserve">(d) Penalties imposed pursuant to RCW 70A.245.040 and 70A.245.050 must be credited to the recycling enhancement account created in RCW 70A.245.100;</w:t>
      </w:r>
    </w:p>
    <w:p>
      <w:pPr>
        <w:spacing w:before="0" w:after="0" w:line="408" w:lineRule="exact"/>
        <w:ind w:left="0" w:right="0" w:firstLine="576"/>
        <w:jc w:val="left"/>
      </w:pPr>
      <w:r>
        <w:rPr>
          <w:u w:val="single"/>
        </w:rPr>
        <w:t xml:space="preserve">(e) Penalties imposed pursuant to RCW 70A.500.260 must be deposited into the electronic products recycling account created in RCW 70A.500.130;</w:t>
      </w:r>
    </w:p>
    <w:p>
      <w:pPr>
        <w:spacing w:before="0" w:after="0" w:line="408" w:lineRule="exact"/>
        <w:ind w:left="0" w:right="0" w:firstLine="576"/>
        <w:jc w:val="left"/>
      </w:pPr>
      <w:r>
        <w:rPr>
          <w:u w:val="single"/>
        </w:rPr>
        <w:t xml:space="preserve">(f) Penalties imposed pursuant to RCW 70A.65.200 must be credited to the climate investment account created in RCW 70A.65.250;</w:t>
      </w:r>
    </w:p>
    <w:p>
      <w:pPr>
        <w:spacing w:before="0" w:after="0" w:line="408" w:lineRule="exact"/>
        <w:ind w:left="0" w:right="0" w:firstLine="576"/>
        <w:jc w:val="left"/>
      </w:pPr>
      <w:r>
        <w:rPr>
          <w:u w:val="single"/>
        </w:rPr>
        <w:t xml:space="preserve">(g) Penalties imposed pursuant to RCW 90.56.330 must be credited to the coastal protection fund established in RCW 90.48.390; and</w:t>
      </w:r>
    </w:p>
    <w:p>
      <w:pPr>
        <w:spacing w:before="0" w:after="0" w:line="408" w:lineRule="exact"/>
        <w:ind w:left="0" w:right="0" w:firstLine="576"/>
        <w:jc w:val="left"/>
      </w:pPr>
      <w:r>
        <w:rPr>
          <w:u w:val="single"/>
        </w:rPr>
        <w:t xml:space="preserve">(h) Penalties imposed pursuant to RCW 70A.355.070 must be credited to the underground storage tank account created in RCW 70A.355.090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300</w:t>
      </w:r>
      <w:r>
        <w:rPr/>
        <w:t xml:space="preserve">.</w:t>
      </w:r>
      <w:r>
        <w:t xml:space="preserve">120</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w:t>
      </w:r>
      <w:r>
        <w:t>((</w:t>
      </w:r>
      <w:r>
        <w:rPr>
          <w:strike/>
        </w:rPr>
        <w:t xml:space="preserve">ten thousand dollars</w:t>
      </w:r>
      <w:r>
        <w:t>))</w:t>
      </w:r>
      <w:r>
        <w:rPr/>
        <w:t xml:space="preserve"> </w:t>
      </w:r>
      <w:r>
        <w:rPr>
          <w:u w:val="single"/>
        </w:rPr>
        <w:t xml:space="preserve">$10,000</w:t>
      </w:r>
      <w:r>
        <w:rPr/>
        <w:t xml:space="preserve">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w:t>
      </w:r>
      <w:r>
        <w:t>((</w:t>
      </w:r>
      <w:r>
        <w:rPr>
          <w:strike/>
        </w:rPr>
        <w:t xml:space="preserve">43.21B.310</w:t>
      </w:r>
      <w:r>
        <w:t>))</w:t>
      </w:r>
      <w:r>
        <w:rPr/>
        <w:t xml:space="preserve"> </w:t>
      </w:r>
      <w:r>
        <w:rPr>
          <w:u w:val="single"/>
        </w:rPr>
        <w:t xml:space="preserve">43.21B.300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430</w:t>
      </w:r>
      <w:r>
        <w:rPr/>
        <w:t xml:space="preserve">.</w:t>
      </w:r>
      <w:r>
        <w:t xml:space="preserve">070</w:t>
      </w:r>
      <w:r>
        <w:rPr/>
        <w:t xml:space="preserve"> and 2020 c 20 s 1409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w:t>
      </w:r>
      <w:r>
        <w:t>((</w:t>
      </w:r>
      <w:r>
        <w:rPr>
          <w:strike/>
        </w:rPr>
        <w:t xml:space="preserve">ninety</w:t>
      </w:r>
      <w:r>
        <w:t>))</w:t>
      </w:r>
      <w:r>
        <w:rPr/>
        <w:t xml:space="preserve"> </w:t>
      </w:r>
      <w:r>
        <w:rPr>
          <w:u w:val="single"/>
        </w:rPr>
        <w:t xml:space="preserve">90</w:t>
      </w:r>
      <w:r>
        <w:rPr/>
        <w:t xml:space="preserve">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w:t>
      </w:r>
      <w:r>
        <w:t>((</w:t>
      </w:r>
      <w:r>
        <w:rPr>
          <w:strike/>
        </w:rPr>
        <w:t xml:space="preserve">five thousand dollars</w:t>
      </w:r>
      <w:r>
        <w:t>))</w:t>
      </w:r>
      <w:r>
        <w:rPr/>
        <w:t xml:space="preserve"> </w:t>
      </w:r>
      <w:r>
        <w:rPr>
          <w:u w:val="single"/>
        </w:rPr>
        <w:t xml:space="preserve">$5,000</w:t>
      </w:r>
      <w:r>
        <w:rPr/>
        <w:t xml:space="preserve"> for each violation in the case of a first offense. Manufacturers who are repeat violators are subject to a civil penalty not to exceed </w:t>
      </w:r>
      <w:r>
        <w:t>((</w:t>
      </w:r>
      <w:r>
        <w:rPr>
          <w:strike/>
        </w:rPr>
        <w:t xml:space="preserve">ten thousand dollars</w:t>
      </w:r>
      <w:r>
        <w:t>))</w:t>
      </w:r>
      <w:r>
        <w:rPr/>
        <w:t xml:space="preserve"> </w:t>
      </w:r>
      <w:r>
        <w:rPr>
          <w:u w:val="single"/>
        </w:rPr>
        <w:t xml:space="preserve">$10,000</w:t>
      </w:r>
      <w:r>
        <w:rPr/>
        <w:t xml:space="preserve"> for each repeat offense.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w:t>
      </w:r>
      <w:r>
        <w:t>((</w:t>
      </w:r>
      <w:r>
        <w:rPr>
          <w:strike/>
        </w:rPr>
        <w:t xml:space="preserve">one thousand dollars</w:t>
      </w:r>
      <w:r>
        <w:t>))</w:t>
      </w:r>
      <w:r>
        <w:rPr/>
        <w:t xml:space="preserve"> </w:t>
      </w:r>
      <w:r>
        <w:rPr>
          <w:u w:val="single"/>
        </w:rPr>
        <w:t xml:space="preserve">$1,000</w:t>
      </w:r>
      <w:r>
        <w:rPr/>
        <w:t xml:space="preserve">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500</w:t>
      </w:r>
      <w:r>
        <w:rPr/>
        <w:t xml:space="preserve">.</w:t>
      </w:r>
      <w:r>
        <w:t xml:space="preserve">260</w:t>
      </w:r>
      <w:r>
        <w:rPr/>
        <w:t xml:space="preserve"> and 2020 c 20 s 1259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70A.500.050. The written warning must inform the manufacturer that it must participate in an approved plan within </w:t>
      </w:r>
      <w:r>
        <w:t>((</w:t>
      </w:r>
      <w:r>
        <w:rPr>
          <w:strike/>
        </w:rPr>
        <w:t xml:space="preserve">thirty</w:t>
      </w:r>
      <w:r>
        <w:t>))</w:t>
      </w:r>
      <w:r>
        <w:rPr/>
        <w:t xml:space="preserve"> </w:t>
      </w:r>
      <w:r>
        <w:rPr>
          <w:u w:val="single"/>
        </w:rPr>
        <w:t xml:space="preserve">30</w:t>
      </w:r>
      <w:r>
        <w:rPr/>
        <w:t xml:space="preserve"> days of the notice. Any violation after the initial written warning shall be assessed a penalty of up to </w:t>
      </w:r>
      <w:r>
        <w:t>((</w:t>
      </w:r>
      <w:r>
        <w:rPr>
          <w:strike/>
        </w:rPr>
        <w:t xml:space="preserve">ten thousand dollars</w:t>
      </w:r>
      <w:r>
        <w:t>))</w:t>
      </w:r>
      <w:r>
        <w:rPr/>
        <w:t xml:space="preserve"> </w:t>
      </w:r>
      <w:r>
        <w:rPr>
          <w:u w:val="single"/>
        </w:rPr>
        <w:t xml:space="preserve">$10,000</w:t>
      </w:r>
      <w:r>
        <w:rPr/>
        <w:t xml:space="preserve">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w:t>
      </w:r>
      <w:r>
        <w:t>((</w:t>
      </w:r>
      <w:r>
        <w:rPr>
          <w:strike/>
        </w:rPr>
        <w:t xml:space="preserve">five thousand dollars</w:t>
      </w:r>
      <w:r>
        <w:t>))</w:t>
      </w:r>
      <w:r>
        <w:rPr/>
        <w:t xml:space="preserve"> </w:t>
      </w:r>
      <w:r>
        <w:rPr>
          <w:u w:val="single"/>
        </w:rPr>
        <w:t xml:space="preserve">$5,000</w:t>
      </w:r>
      <w:r>
        <w:rPr/>
        <w:t xml:space="preserve"> for the first violation along with notification that the authority or authorized party must implement its plan within </w:t>
      </w:r>
      <w:r>
        <w:t>((</w:t>
      </w:r>
      <w:r>
        <w:rPr>
          <w:strike/>
        </w:rPr>
        <w:t xml:space="preserve">thirty</w:t>
      </w:r>
      <w:r>
        <w:t>))</w:t>
      </w:r>
      <w:r>
        <w:rPr/>
        <w:t xml:space="preserve"> </w:t>
      </w:r>
      <w:r>
        <w:rPr>
          <w:u w:val="single"/>
        </w:rPr>
        <w:t xml:space="preserve">30</w:t>
      </w:r>
      <w:r>
        <w:rPr/>
        <w:t xml:space="preserve"> days of the violation. After </w:t>
      </w:r>
      <w:r>
        <w:t>((</w:t>
      </w:r>
      <w:r>
        <w:rPr>
          <w:strike/>
        </w:rPr>
        <w:t xml:space="preserve">thirty</w:t>
      </w:r>
      <w:r>
        <w:t>))</w:t>
      </w:r>
      <w:r>
        <w:rPr/>
        <w:t xml:space="preserve"> </w:t>
      </w:r>
      <w:r>
        <w:rPr>
          <w:u w:val="single"/>
        </w:rPr>
        <w:t xml:space="preserve">30</w:t>
      </w:r>
      <w:r>
        <w:rPr/>
        <w:t xml:space="preserve"> days, the authority or any authorized party failing to implement their approved plan must be assessed a penalty of up to </w:t>
      </w:r>
      <w:r>
        <w:t>((</w:t>
      </w:r>
      <w:r>
        <w:rPr>
          <w:strike/>
        </w:rPr>
        <w:t xml:space="preserve">ten thousand dollars</w:t>
      </w:r>
      <w:r>
        <w:t>))</w:t>
      </w:r>
      <w:r>
        <w:rPr/>
        <w:t xml:space="preserve"> </w:t>
      </w:r>
      <w:r>
        <w:rPr>
          <w:u w:val="single"/>
        </w:rPr>
        <w:t xml:space="preserve">$10,000</w:t>
      </w:r>
      <w:r>
        <w:rPr/>
        <w:t xml:space="preserve">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70A.500.040, education and outreach requirements under RCW 70A.500.120, reporting requirements under RCW 70A.500.140, labeling requirements under RCW 70A.500.160, retailer responsibility requirements under RCW 70A.500.170, collector or transporter registration requirements under RCW 70A.500.240, or requirements under RCW 70A.500.250, must first receive a written warning </w:t>
      </w:r>
      <w:r>
        <w:rPr>
          <w:u w:val="single"/>
        </w:rPr>
        <w:t xml:space="preserve">consistent with the procedures of RCW 43.21B.300,</w:t>
      </w:r>
      <w:r>
        <w:rPr/>
        <w:t xml:space="preserve"> including a copy of the requirements under this chapter and </w:t>
      </w:r>
      <w:r>
        <w:t>((</w:t>
      </w:r>
      <w:r>
        <w:rPr>
          <w:strike/>
        </w:rPr>
        <w:t xml:space="preserve">thirty</w:t>
      </w:r>
      <w:r>
        <w:t>))</w:t>
      </w:r>
      <w:r>
        <w:rPr/>
        <w:t xml:space="preserve"> </w:t>
      </w:r>
      <w:r>
        <w:rPr>
          <w:u w:val="single"/>
        </w:rPr>
        <w:t xml:space="preserve">30</w:t>
      </w:r>
      <w:r>
        <w:rPr/>
        <w:t xml:space="preserve"> days to correct the violation. After </w:t>
      </w:r>
      <w:r>
        <w:t>((</w:t>
      </w:r>
      <w:r>
        <w:rPr>
          <w:strike/>
        </w:rPr>
        <w:t xml:space="preserve">thirty</w:t>
      </w:r>
      <w:r>
        <w:t>))</w:t>
      </w:r>
      <w:r>
        <w:rPr/>
        <w:t xml:space="preserve"> </w:t>
      </w:r>
      <w:r>
        <w:rPr>
          <w:u w:val="single"/>
        </w:rPr>
        <w:t xml:space="preserve">30</w:t>
      </w:r>
      <w:r>
        <w:rPr/>
        <w:t xml:space="preserve"> days, a person must be assessed a penalty of up to </w:t>
      </w:r>
      <w:r>
        <w:t>((</w:t>
      </w:r>
      <w:r>
        <w:rPr>
          <w:strike/>
        </w:rPr>
        <w:t xml:space="preserve">one thousand dollars</w:t>
      </w:r>
      <w:r>
        <w:t>))</w:t>
      </w:r>
      <w:r>
        <w:rPr/>
        <w:t xml:space="preserve"> </w:t>
      </w:r>
      <w:r>
        <w:rPr>
          <w:u w:val="single"/>
        </w:rPr>
        <w:t xml:space="preserve">$1,000</w:t>
      </w:r>
      <w:r>
        <w:rPr/>
        <w:t xml:space="preserve"> for the first violation and up to </w:t>
      </w:r>
      <w:r>
        <w:t>((</w:t>
      </w:r>
      <w:r>
        <w:rPr>
          <w:strike/>
        </w:rPr>
        <w:t xml:space="preserve">two thousand dollars</w:t>
      </w:r>
      <w:r>
        <w:t>))</w:t>
      </w:r>
      <w:r>
        <w:rPr/>
        <w:t xml:space="preserve"> </w:t>
      </w:r>
      <w:r>
        <w:rPr>
          <w:u w:val="single"/>
        </w:rPr>
        <w:t xml:space="preserve">$2,000</w:t>
      </w:r>
      <w:r>
        <w:rPr/>
        <w:t xml:space="preserve"> for the second and each subsequent violation.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All penalties levied under this section must be deposited into the electronic products recycling account created under RCW 70A.500.130.</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040</w:t>
      </w:r>
      <w:r>
        <w:rPr/>
        <w:t xml:space="preserve"> and 1995 c 347 s 705 are each amended to read as follows:</w:t>
      </w:r>
    </w:p>
    <w:p>
      <w:pPr>
        <w:spacing w:before="0" w:after="0" w:line="408" w:lineRule="exact"/>
        <w:ind w:left="0" w:right="0" w:firstLine="576"/>
        <w:jc w:val="left"/>
      </w:pPr>
      <w:r>
        <w:rPr/>
        <w:t xml:space="preserve">(1) Proceedings for review under this chapter shall be commenced by filing a land use petition in superior court.</w:t>
      </w:r>
    </w:p>
    <w:p>
      <w:pPr>
        <w:spacing w:before="0" w:after="0" w:line="408" w:lineRule="exact"/>
        <w:ind w:left="0" w:right="0" w:firstLine="576"/>
        <w:jc w:val="left"/>
      </w:pPr>
      <w:r>
        <w:rPr/>
        <w:t xml:space="preserve">(2) A land use petition is barred, and the court may not grant review, unless the petition is timely filed with the court and timely served on the following persons who shall be parties to the review of the land use petition:</w:t>
      </w:r>
    </w:p>
    <w:p>
      <w:pPr>
        <w:spacing w:before="0" w:after="0" w:line="408" w:lineRule="exact"/>
        <w:ind w:left="0" w:right="0" w:firstLine="576"/>
        <w:jc w:val="left"/>
      </w:pPr>
      <w:r>
        <w:rPr/>
        <w:t xml:space="preserve">(a) The local jurisdiction, which for purposes of the petition shall be the jurisdiction's corporate entity and not an individual decision maker or department;</w:t>
      </w:r>
    </w:p>
    <w:p>
      <w:pPr>
        <w:spacing w:before="0" w:after="0" w:line="408" w:lineRule="exact"/>
        <w:ind w:left="0" w:right="0" w:firstLine="576"/>
        <w:jc w:val="left"/>
      </w:pPr>
      <w:r>
        <w:rPr/>
        <w:t xml:space="preserve">(b) Each of the following persons if the person is not the petitioner:</w:t>
      </w:r>
    </w:p>
    <w:p>
      <w:pPr>
        <w:spacing w:before="0" w:after="0" w:line="408" w:lineRule="exact"/>
        <w:ind w:left="0" w:right="0" w:firstLine="576"/>
        <w:jc w:val="left"/>
      </w:pPr>
      <w:r>
        <w:rPr/>
        <w:t xml:space="preserve">(i) Each person identified by name and address in the local jurisdiction's written decision as an applicant for the permit or approval at issue; and</w:t>
      </w:r>
    </w:p>
    <w:p>
      <w:pPr>
        <w:spacing w:before="0" w:after="0" w:line="408" w:lineRule="exact"/>
        <w:ind w:left="0" w:right="0" w:firstLine="576"/>
        <w:jc w:val="left"/>
      </w:pPr>
      <w:r>
        <w:rPr/>
        <w:t xml:space="preserve">(ii) Each person identified by name and address in the local jurisdiction's written decision as an owner of the property at issue;</w:t>
      </w:r>
    </w:p>
    <w:p>
      <w:pPr>
        <w:spacing w:before="0" w:after="0" w:line="408" w:lineRule="exact"/>
        <w:ind w:left="0" w:right="0" w:firstLine="576"/>
        <w:jc w:val="left"/>
      </w:pPr>
      <w:r>
        <w:rPr/>
        <w:t xml:space="preserve">(c) If no person is identified in a written decision as provided in (b) of this subsection, each person identified by name and address as a taxpayer for the property at issue in the records of the county assessor, based upon the description of the property in the application; and</w:t>
      </w:r>
    </w:p>
    <w:p>
      <w:pPr>
        <w:spacing w:before="0" w:after="0" w:line="408" w:lineRule="exact"/>
        <w:ind w:left="0" w:right="0" w:firstLine="576"/>
        <w:jc w:val="left"/>
      </w:pPr>
      <w:r>
        <w:rPr/>
        <w:t xml:space="preserve">(d) Each person named in the written decision who filed an appeal to a local jurisdiction quasi</w:t>
      </w:r>
      <w:r>
        <w:rPr/>
        <w:noBreakHyphen/>
      </w:r>
      <w:r>
        <w:rPr/>
        <w:t xml:space="preserve">judicial decision maker regarding the land use decision at issue, unless the person has abandoned the appeal or the person's claims were dismissed before the quasi</w:t>
      </w:r>
      <w:r>
        <w:rPr/>
        <w:noBreakHyphen/>
      </w:r>
      <w:r>
        <w:rPr/>
        <w:t xml:space="preserve">judicial decision was rendered. Persons who later intervened or joined in the appeal are not required to be made parties under this subsection.</w:t>
      </w:r>
    </w:p>
    <w:p>
      <w:pPr>
        <w:spacing w:before="0" w:after="0" w:line="408" w:lineRule="exact"/>
        <w:ind w:left="0" w:right="0" w:firstLine="576"/>
        <w:jc w:val="left"/>
      </w:pPr>
      <w:r>
        <w:rPr/>
        <w:t xml:space="preserve">(3) The petition is timely if it is filed and served on all parties listed in subsection (2) of this section within </w:t>
      </w:r>
      <w:r>
        <w:t>((</w:t>
      </w:r>
      <w:r>
        <w:rPr>
          <w:strike/>
        </w:rPr>
        <w:t xml:space="preserve">twenty</w:t>
      </w:r>
      <w:r>
        <w:rPr/>
        <w:noBreakHyphen/>
      </w:r>
      <w:r>
        <w:rPr>
          <w:strike/>
        </w:rPr>
        <w:t xml:space="preserve">one</w:t>
      </w:r>
      <w:r>
        <w:t>))</w:t>
      </w:r>
      <w:r>
        <w:rPr/>
        <w:t xml:space="preserve"> </w:t>
      </w:r>
      <w:r>
        <w:rPr>
          <w:u w:val="single"/>
        </w:rPr>
        <w:t xml:space="preserve">21</w:t>
      </w:r>
      <w:r>
        <w:rPr/>
        <w:t xml:space="preserve"> days of the issuance of the land use decision.</w:t>
      </w:r>
    </w:p>
    <w:p>
      <w:pPr>
        <w:spacing w:before="0" w:after="0" w:line="408" w:lineRule="exact"/>
        <w:ind w:left="0" w:right="0" w:firstLine="576"/>
        <w:jc w:val="left"/>
      </w:pPr>
      <w:r>
        <w:rPr/>
        <w:t xml:space="preserve">(4) For the purposes of this section, the date on which a land use decision is issued is:</w:t>
      </w:r>
    </w:p>
    <w:p>
      <w:pPr>
        <w:spacing w:before="0" w:after="0" w:line="408" w:lineRule="exact"/>
        <w:ind w:left="0" w:right="0" w:firstLine="576"/>
        <w:jc w:val="left"/>
      </w:pPr>
      <w:r>
        <w:rPr/>
        <w:t xml:space="preserve">(a) Three days after a written decision is mailed by the local jurisdiction or, if not mailed, the date on which the local jurisdiction provides notice that a written decision is publicly available;</w:t>
      </w:r>
    </w:p>
    <w:p>
      <w:pPr>
        <w:spacing w:before="0" w:after="0" w:line="408" w:lineRule="exact"/>
        <w:ind w:left="0" w:right="0" w:firstLine="576"/>
        <w:jc w:val="left"/>
      </w:pPr>
      <w:r>
        <w:rPr/>
        <w:t xml:space="preserve">(b) If the land use decision is made by ordinance or resolution by a legislative body sitting in a quasi</w:t>
      </w:r>
      <w:r>
        <w:rPr/>
        <w:noBreakHyphen/>
      </w:r>
      <w:r>
        <w:rPr/>
        <w:t xml:space="preserve">judicial capacity, the date the body passes the ordinance or resolution; or</w:t>
      </w:r>
    </w:p>
    <w:p>
      <w:pPr>
        <w:spacing w:before="0" w:after="0" w:line="408" w:lineRule="exact"/>
        <w:ind w:left="0" w:right="0" w:firstLine="576"/>
        <w:jc w:val="left"/>
      </w:pPr>
      <w:r>
        <w:rPr/>
        <w:t xml:space="preserve">(c) If neither (a) nor (b) of this subsection applies, the date the decision is entered into the public record.</w:t>
      </w:r>
    </w:p>
    <w:p>
      <w:pPr>
        <w:spacing w:before="0" w:after="0" w:line="408" w:lineRule="exact"/>
        <w:ind w:left="0" w:right="0" w:firstLine="576"/>
        <w:jc w:val="left"/>
      </w:pPr>
      <w:r>
        <w:rPr/>
        <w:t xml:space="preserve">(5) Service on the local jurisdiction must be by delivery of a copy of the petition to the </w:t>
      </w:r>
      <w:r>
        <w:t>((</w:t>
      </w:r>
      <w:r>
        <w:rPr>
          <w:strike/>
        </w:rPr>
        <w:t xml:space="preserve">persons</w:t>
      </w:r>
      <w:r>
        <w:t>))</w:t>
      </w:r>
      <w:r>
        <w:rPr/>
        <w:t xml:space="preserve"> </w:t>
      </w:r>
      <w:r>
        <w:rPr>
          <w:u w:val="single"/>
        </w:rPr>
        <w:t xml:space="preserve">office of a person</w:t>
      </w:r>
      <w:r>
        <w:rPr/>
        <w:t xml:space="preserve"> identified by or pursuant to RCW 4.28.080 to receive service of process</w:t>
      </w:r>
      <w:r>
        <w:rPr>
          <w:u w:val="single"/>
        </w:rPr>
        <w:t xml:space="preserve">, or as otherwise designated by the local jurisdiction. Service on the local jurisdiction is effective upon delivery</w:t>
      </w:r>
      <w:r>
        <w:rPr/>
        <w:t xml:space="preserve">. Service on other parties must be in accordance with the superior court civil rules or by first-class mail to:</w:t>
      </w:r>
    </w:p>
    <w:p>
      <w:pPr>
        <w:spacing w:before="0" w:after="0" w:line="408" w:lineRule="exact"/>
        <w:ind w:left="0" w:right="0" w:firstLine="576"/>
        <w:jc w:val="left"/>
      </w:pPr>
      <w:r>
        <w:rPr/>
        <w:t xml:space="preserve">(a) The address stated in the written decision of the local jurisdiction for each person made a party under subsection (2)(b) of this section;</w:t>
      </w:r>
    </w:p>
    <w:p>
      <w:pPr>
        <w:spacing w:before="0" w:after="0" w:line="408" w:lineRule="exact"/>
        <w:ind w:left="0" w:right="0" w:firstLine="576"/>
        <w:jc w:val="left"/>
      </w:pPr>
      <w:r>
        <w:rPr/>
        <w:t xml:space="preserve">(b) The address stated in the records of the county assessor for each person made a party under subsection (2)(c) of this section; and</w:t>
      </w:r>
    </w:p>
    <w:p>
      <w:pPr>
        <w:spacing w:before="0" w:after="0" w:line="408" w:lineRule="exact"/>
        <w:ind w:left="0" w:right="0" w:firstLine="576"/>
        <w:jc w:val="left"/>
      </w:pPr>
      <w:r>
        <w:rPr/>
        <w:t xml:space="preserve">(c) The address stated in the appeal to the quasi</w:t>
      </w:r>
      <w:r>
        <w:rPr/>
        <w:noBreakHyphen/>
      </w:r>
      <w:r>
        <w:rPr/>
        <w:t xml:space="preserve">judicial decision maker for each person made a party under subsection (2)(d) of this section.</w:t>
      </w:r>
    </w:p>
    <w:p>
      <w:pPr>
        <w:spacing w:before="0" w:after="0" w:line="408" w:lineRule="exact"/>
        <w:ind w:left="0" w:right="0" w:firstLine="576"/>
        <w:jc w:val="left"/>
      </w:pPr>
      <w:r>
        <w:rPr/>
        <w:t xml:space="preserve">(6) Service by mail is effective on the date of mailing and proof of service shall be by affidavit or declaration under penalty of perjury.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145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2020 c 20 s 1175, 2016 c 119 s 7, &amp; 1998 c 36 s 18 are each repealed.</w:t>
      </w:r>
    </w:p>
    <w:p/>
    <w:p>
      <w:pPr>
        <w:jc w:val="center"/>
      </w:pPr>
      <w:r>
        <w:rPr>
          <w:b/>
        </w:rPr>
        <w:t>--- END ---</w:t>
      </w:r>
    </w:p>
    <w:sectPr>
      <w:pgNumType w:start="1"/>
      <w:footerReference xmlns:r="http://schemas.openxmlformats.org/officeDocument/2006/relationships" r:id="R9dd856443e9c4e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41e7433c646a0" /><Relationship Type="http://schemas.openxmlformats.org/officeDocument/2006/relationships/footer" Target="/word/footer1.xml" Id="R9dd856443e9c4eeb" /></Relationships>
</file>