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9417e0400c48d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2115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61</w:t>
            </w:r>
            <w:r>
              <w:t xml:space="preserve">  Nays </w:t>
              <w:t xml:space="preserve">36</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23, 2024</w:t>
            </w:r>
          </w:p>
          <w:p>
            <w:pPr>
              <w:ind w:left="0" w:right="0" w:firstLine="360"/>
            </w:pPr>
            <w:r>
              <w:t xml:space="preserve">Yeas </w:t>
              <w:t xml:space="preserve">33</w:t>
            </w:r>
            <w:r>
              <w:t xml:space="preserve">  Nays </w:t>
              <w:t xml:space="preserve">14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SUBSTITUTE HOUSE BILL 2115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2115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Thai, Slatter, Senn, Chapman, Reed, Ramel, Macri, Gregerson, Doglio, Fosse, Riccelli, Wylie, and Reeves)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labels for medications used for abortion; and amending RCW 69.41.050.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the prescribing and dispensing health care facility name instead of the name of the practitioner.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
      <w:pPr>
        <w:jc w:val="center"/>
      </w:pPr>
      <w:r>
        <w:rPr>
          <w:b/>
        </w:rPr>
        <w:t>--- END ---</w:t>
      </w:r>
    </w:p>
    <w:sectPr>
      <w:pgNumType w:start="1"/>
      <w:footerReference xmlns:r="http://schemas.openxmlformats.org/officeDocument/2006/relationships" r:id="R6db91e730b8a4a0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2115.PL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b647c6384844d5" /><Relationship Type="http://schemas.openxmlformats.org/officeDocument/2006/relationships/footer" Target="/word/footer1.xml" Id="R6db91e730b8a4a0b" /></Relationships>
</file>