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924c2089f40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2247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2247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2247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Bateman, Bronoske, Simmons, Duerr, Callan, Reed, Macri, Doglio,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and 18.225.180; reenacting and amending RCW 18.205.095, 18.225.090, 71.05.020, and 71.05.020; creating new sections; providing effective dates;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 in consultation with the committee</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in consultation with the committee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incurred when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w:t>
      </w:r>
      <w:r>
        <w:rPr>
          <w:u w:val="single"/>
        </w:rPr>
        <w:t xml:space="preserve">incurred</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per year.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health shall study and make recommendations on changing the disciplining authority for professions regulated under chapter 18.225 RCW from the secretary of health to separate boards or commissions for each profession.</w:t>
      </w:r>
    </w:p>
    <w:p>
      <w:pPr>
        <w:spacing w:before="0" w:after="0" w:line="408" w:lineRule="exact"/>
        <w:ind w:left="0" w:right="0" w:firstLine="576"/>
        <w:jc w:val="left"/>
      </w:pPr>
      <w:r>
        <w:rPr/>
        <w:t xml:space="preserve">(2) The secretary of health's findings and recommendations must, at a minimum, include the following:</w:t>
      </w:r>
    </w:p>
    <w:p>
      <w:pPr>
        <w:spacing w:before="0" w:after="0" w:line="408" w:lineRule="exact"/>
        <w:ind w:left="0" w:right="0" w:firstLine="576"/>
        <w:jc w:val="left"/>
      </w:pPr>
      <w:r>
        <w:rPr/>
        <w:t xml:space="preserve">(a) Whether the disciplining authority for each profession should be a board or a commission;</w:t>
      </w:r>
    </w:p>
    <w:p>
      <w:pPr>
        <w:spacing w:before="0" w:after="0" w:line="408" w:lineRule="exact"/>
        <w:ind w:left="0" w:right="0" w:firstLine="576"/>
        <w:jc w:val="left"/>
      </w:pPr>
      <w:r>
        <w:rPr/>
        <w:t xml:space="preserve">(b) The recommended membership of each board or commission, which must include:</w:t>
      </w:r>
    </w:p>
    <w:p>
      <w:pPr>
        <w:spacing w:before="0" w:after="0" w:line="408" w:lineRule="exact"/>
        <w:ind w:left="0" w:right="0" w:firstLine="576"/>
        <w:jc w:val="left"/>
      </w:pPr>
      <w:r>
        <w:rPr/>
        <w:t xml:space="preserve">(i) A majority of members who are members of the regulated professions; and</w:t>
      </w:r>
    </w:p>
    <w:p>
      <w:pPr>
        <w:spacing w:before="0" w:after="0" w:line="408" w:lineRule="exact"/>
        <w:ind w:left="0" w:right="0" w:firstLine="576"/>
        <w:jc w:val="left"/>
      </w:pPr>
      <w:r>
        <w:rPr/>
        <w:t xml:space="preserve">(ii) At least one public member;</w:t>
      </w:r>
    </w:p>
    <w:p>
      <w:pPr>
        <w:spacing w:before="0" w:after="0" w:line="408" w:lineRule="exact"/>
        <w:ind w:left="0" w:right="0" w:firstLine="576"/>
        <w:jc w:val="left"/>
      </w:pPr>
      <w:r>
        <w:rPr/>
        <w:t xml:space="preserve">(c) An estimate of the fiscal impact of changing the disciplining authority for the professions; and</w:t>
      </w:r>
    </w:p>
    <w:p>
      <w:pPr>
        <w:spacing w:before="0" w:after="0" w:line="408" w:lineRule="exact"/>
        <w:ind w:left="0" w:right="0" w:firstLine="576"/>
        <w:jc w:val="left"/>
      </w:pPr>
      <w:r>
        <w:rPr/>
        <w:t xml:space="preserve">(d) A transition plan for changing the disciplining authorities, including recommended statutory changes.</w:t>
      </w:r>
    </w:p>
    <w:p>
      <w:pPr>
        <w:spacing w:before="0" w:after="0" w:line="408" w:lineRule="exact"/>
        <w:ind w:left="0" w:right="0" w:firstLine="576"/>
        <w:jc w:val="left"/>
      </w:pPr>
      <w:r>
        <w:rPr/>
        <w:t xml:space="preserve">(3) When formulating the findings and recommendations, the secretary of health must consult with organizations representing the professions regulated under chapter 18.225 RCW.</w:t>
      </w:r>
    </w:p>
    <w:p>
      <w:pPr>
        <w:spacing w:before="0" w:after="0" w:line="408" w:lineRule="exact"/>
        <w:ind w:left="0" w:right="0" w:firstLine="576"/>
        <w:jc w:val="left"/>
      </w:pPr>
      <w:r>
        <w:rPr/>
        <w:t xml:space="preserve">(4) The secretary of health shall report the findings and recommendations to the appropriate committees of the legislature no later than July 1, 2025.</w:t>
      </w:r>
    </w:p>
    <w:p>
      <w:pPr>
        <w:spacing w:before="0" w:after="0" w:line="408" w:lineRule="exact"/>
        <w:ind w:left="0" w:right="0" w:firstLine="576"/>
        <w:jc w:val="left"/>
      </w:pPr>
      <w:r>
        <w:rPr/>
        <w:t xml:space="preserve">(5)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and 16 of this act take effect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the contingency in section 26, chapter 433, Laws of 2023 takes effect.</w:t>
      </w:r>
    </w:p>
    <w:p/>
    <w:p>
      <w:pPr>
        <w:jc w:val="center"/>
      </w:pPr>
      <w:r>
        <w:rPr>
          <w:b/>
        </w:rPr>
        <w:t>--- END ---</w:t>
      </w:r>
    </w:p>
    <w:sectPr>
      <w:pgNumType w:start="1"/>
      <w:footerReference xmlns:r="http://schemas.openxmlformats.org/officeDocument/2006/relationships" r:id="R0439b801ea7e40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2247.PL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f618b9b5544a6" /><Relationship Type="http://schemas.openxmlformats.org/officeDocument/2006/relationships/footer" Target="/word/footer1.xml" Id="R0439b801ea7e40bf" /></Relationships>
</file>