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8c65e8ed143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2331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Stonier, Macri, Davis,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28A.150.230, and 28A.642.020; adding new sections to chapter 28A.320 RCW; adding a new section to chapter 28A.640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Representative</w:t>
      </w:r>
      <w:r>
        <w:rPr/>
        <w:t xml:space="preserve"> members of the district's professional staff, including representation from the district's curriculum development committees</w:t>
      </w:r>
      <w:r>
        <w:t>((</w:t>
      </w:r>
      <w:r>
        <w:rPr>
          <w:strike/>
        </w:rPr>
        <w:t xml:space="preserve">, and, in the case of districts which</w:t>
      </w:r>
      <w:r>
        <w:t>))</w:t>
      </w:r>
      <w:r>
        <w:rPr>
          <w:u w:val="single"/>
        </w:rPr>
        <w:t xml:space="preserve">; one or more parents of enrolled students, with the parent members equaling less than one-half of the total membership of the committee; and in the case of districts that</w:t>
      </w:r>
      <w:r>
        <w:rPr/>
        <w:t xml:space="preserve">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develop and implement comprehensive outreach programs to parents of enrolled students in the district for the purpose of recruiting a diverse pool of parent members for instructional materials committees that reflects the demographics and learning needs in the district to the greatest extent possible;</w:t>
      </w:r>
    </w:p>
    <w:p>
      <w:pPr>
        <w:spacing w:before="0" w:after="0" w:line="408" w:lineRule="exact"/>
        <w:ind w:left="0" w:right="0" w:firstLine="576"/>
        <w:jc w:val="left"/>
      </w:pPr>
      <w:r>
        <w:rPr>
          <w:u w:val="single"/>
        </w:rPr>
        <w:t xml:space="preserve">(iv) Instructional materials committees that are unable to recruit at least one parent of an enrolled student to serve on the committee must, while they are without a parent member, report quarterly to the school district board of directors and the public on their efforts to recruit one or more parents to serve on</w:t>
      </w:r>
      <w:r>
        <w:rPr/>
        <w:t xml:space="preserve">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Provide a system for receiving, considering and acting upon written complaints regarding instructional materials used by the school district</w:t>
      </w:r>
      <w:r>
        <w:rPr>
          <w:u w:val="single"/>
        </w:rPr>
        <w:t xml:space="preserve">. The system required by this subsection (1)(a)(vi) must:</w:t>
      </w:r>
    </w:p>
    <w:p>
      <w:pPr>
        <w:spacing w:before="0" w:after="0" w:line="408" w:lineRule="exact"/>
        <w:ind w:left="0" w:right="0" w:firstLine="576"/>
        <w:jc w:val="left"/>
      </w:pPr>
      <w:r>
        <w:rPr>
          <w:u w:val="single"/>
        </w:rPr>
        <w:t xml:space="preserve">(A) Require that complaints be in writing from a parent or legal guardian of a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(a)(vi)(B) of this subsection; or (II) 90 days after the complaint was received by the principal, whichever date is later. Decisions made in accordance with this subsection (1)(a)(vi)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(1)(a)(vi)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but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w:t>
      </w:r>
      <w:r>
        <w:t>((</w:t>
      </w:r>
      <w:r>
        <w:rPr>
          <w:strike/>
        </w:rPr>
        <w:t xml:space="preserve">in public hearing</w:t>
      </w:r>
      <w:r>
        <w:t>))</w:t>
      </w:r>
      <w:r>
        <w:rPr/>
        <w:t xml:space="preserve"> upon complaint by parents, guardians or custodians of students who consider dissemination of such material to students objectionable </w:t>
      </w:r>
      <w:r>
        <w:rPr>
          <w:u w:val="single"/>
        </w:rPr>
        <w:t xml:space="preserve">in accordance with section 2 of this act and RCW 28A.320.230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NumType w:start="1"/>
      <w:footerReference xmlns:r="http://schemas.openxmlformats.org/officeDocument/2006/relationships" r:id="R994ed7790d3d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0d248a2f44f6e" /><Relationship Type="http://schemas.openxmlformats.org/officeDocument/2006/relationships/footer" Target="/word/footer1.xml" Id="R994ed7790d3d4423" /></Relationships>
</file>