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f254c90754a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2382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Berry, Lekanoff, Reed, Bronoske, Fosse, Pollet, and Ormsby)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death benefits applicable to drivers of transportation network companies; amending RCW 51.16.250; adding a new section to chapter 51.32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extend survivor death benefits under the industrial insurance act for the surviving dependents of transportation network company drivers when certain conditions are met. The legislature recognizes the devastating impact that such a death has on the surviving family members.</w:t>
      </w:r>
    </w:p>
    <w:p>
      <w:pPr>
        <w:spacing w:before="0" w:after="0" w:line="408" w:lineRule="exact"/>
        <w:ind w:left="0" w:right="0" w:firstLine="576"/>
        <w:jc w:val="left"/>
      </w:pPr>
      <w:r>
        <w:rPr/>
        <w:t xml:space="preserve">(2) By the enactment of section 2 of this act, the legislature honors the memory of transportation network company drivers who have died while working in Washington in recent years, including Cherno Ceesay, who died in 2020, Mohamed Kediye, who died in 2022, Mohamadou Kabba and Amare Geda, who died in 2023, and Abdikadir Gedi Shariif, who died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death benefits shall be payable in accordance with RCW 51.32.050 when a transportation network company driver's death results from an injury occurring while the driver is:</w:t>
      </w:r>
    </w:p>
    <w:p>
      <w:pPr>
        <w:spacing w:before="0" w:after="0" w:line="408" w:lineRule="exact"/>
        <w:ind w:left="0" w:right="0" w:firstLine="576"/>
        <w:jc w:val="left"/>
      </w:pPr>
      <w:r>
        <w:rPr/>
        <w:t xml:space="preserve">(a) Logged onto the transportation network company's digital network as available for work;</w:t>
      </w:r>
    </w:p>
    <w:p>
      <w:pPr>
        <w:spacing w:before="0" w:after="0" w:line="408" w:lineRule="exact"/>
        <w:ind w:left="0" w:right="0" w:firstLine="576"/>
        <w:jc w:val="left"/>
      </w:pPr>
      <w:r>
        <w:rPr/>
        <w:t xml:space="preserve">(b) Physically inside the transportation network company driver's vehicle or within the immediate proximity of the transportation network company driver's vehicle; and</w:t>
      </w:r>
    </w:p>
    <w:p>
      <w:pPr>
        <w:spacing w:before="0" w:after="0" w:line="408" w:lineRule="exact"/>
        <w:ind w:left="0" w:right="0" w:firstLine="576"/>
        <w:jc w:val="left"/>
      </w:pPr>
      <w:r>
        <w:rPr/>
        <w:t xml:space="preserve">(c) Not otherwise covered by this title.</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2 of this act, the cost of the benefits must be included in the consideration of rate increases for the risk class and not attributed to a single transportation network company. Such cost shall not be included in the calculation of any individual transportation network company's experience modification factor.</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conduct or contract out for a study using administrative and other available data and report to the legislature by July 1, 2029. The study shall include, but not be limited to: The number and frequency of transportation network company drivers filing claims with the department of labor and industries who are victims of crime while connected to work through a transportation network company's digital network; whether those claims were accepted or denied; and if denied, the reason for the denial. The study shall not include remote workers working from their homes.</w:t>
      </w:r>
    </w:p>
    <w:p>
      <w:pPr>
        <w:spacing w:before="0" w:after="0" w:line="408" w:lineRule="exact"/>
        <w:ind w:left="0" w:right="0" w:firstLine="576"/>
        <w:jc w:val="left"/>
      </w:pPr>
      <w:r>
        <w:rPr/>
        <w:t xml:space="preserve">(2) This section expires December 31, 2029.</w:t>
      </w:r>
    </w:p>
    <w:p/>
    <w:p>
      <w:pPr>
        <w:jc w:val="center"/>
      </w:pPr>
      <w:r>
        <w:rPr>
          <w:b/>
        </w:rPr>
        <w:t>--- END ---</w:t>
      </w:r>
    </w:p>
    <w:sectPr>
      <w:pgNumType w:start="1"/>
      <w:footerReference xmlns:r="http://schemas.openxmlformats.org/officeDocument/2006/relationships" r:id="R8b1a6fe50068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4b1350e4149e1" /><Relationship Type="http://schemas.openxmlformats.org/officeDocument/2006/relationships/footer" Target="/word/footer1.xml" Id="R8b1a6fe50068428d" /></Relationships>
</file>