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3ad76e4904965" /></Relationships>
</file>

<file path=word/document.xml><?xml version="1.0" encoding="utf-8"?>
<w:document xmlns:w="http://schemas.openxmlformats.org/wordprocessingml/2006/main">
  <w:body>
    <w:p>
      <w:r>
        <w:t>S-0123.1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L. Wilson, Padden, Holy, J. Wilson, Fortunato, Boehnke, Schoesler, Wagoner, Warnick, Braun, Dozier, Short, King, and Torres</w:t>
      </w:r>
    </w:p>
    <w:p/>
    <w:p>
      <w:r>
        <w:rPr>
          <w:t xml:space="preserve">Prefiled 12/05/22.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repeal of resentencing provisions for individuals sentenced as a persistent offender due to a robbery in the second degree conviction; amending RCW 9.94A.345; and repealing RCW 9.94A.647.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647</w:t>
      </w:r>
      <w:r>
        <w:rPr/>
        <w:t xml:space="preserve"> (Resentencing</w:t>
      </w:r>
      <w:r>
        <w:rPr>
          <w:rFonts w:ascii="Times New Roman" w:hAnsi="Times New Roman"/>
        </w:rPr>
        <w:t xml:space="preserve">—</w:t>
      </w:r>
      <w:r>
        <w:rPr/>
        <w:t xml:space="preserve">Persistent offenders</w:t>
      </w:r>
      <w:r>
        <w:rPr>
          <w:rFonts w:ascii="Times New Roman" w:hAnsi="Times New Roman"/>
        </w:rPr>
        <w:t xml:space="preserve">—</w:t>
      </w:r>
      <w:r>
        <w:rPr/>
        <w:t xml:space="preserve">Robbery in the second degree) and 2021 c 141 s 1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345</w:t>
      </w:r>
      <w:r>
        <w:rPr/>
        <w:t xml:space="preserve"> and 2021 c 286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Except as otherwise provided in this chapter, any</w:t>
      </w:r>
      <w:r>
        <w:t>))</w:t>
      </w:r>
      <w:r>
        <w:rPr/>
        <w:t xml:space="preserve"> </w:t>
      </w:r>
      <w:r>
        <w:rPr>
          <w:u w:val="single"/>
        </w:rPr>
        <w:t xml:space="preserve">Any</w:t>
      </w:r>
      <w:r>
        <w:rPr/>
        <w:t xml:space="preserve"> sentence imposed under this chapter shall be determined in accordance with the law in effect when the current offense was committed.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3034634e087435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c6c30bd774dc9" /><Relationship Type="http://schemas.openxmlformats.org/officeDocument/2006/relationships/footer" Target="/word/footer1.xml" Id="R13034634e0874352" /></Relationships>
</file>