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e41b6251f433b" /></Relationships>
</file>

<file path=word/document.xml><?xml version="1.0" encoding="utf-8"?>
<w:document xmlns:w="http://schemas.openxmlformats.org/wordprocessingml/2006/main">
  <w:body>
    <w:p>
      <w:r>
        <w:t>S-4500.1</w:t>
      </w:r>
    </w:p>
    <w:p>
      <w:pPr>
        <w:jc w:val="center"/>
      </w:pPr>
      <w:r>
        <w:t>_______________________________________________</w:t>
      </w:r>
    </w:p>
    <w:p/>
    <w:p>
      <w:pPr>
        <w:jc w:val="center"/>
      </w:pPr>
      <w:r>
        <w:rPr>
          <w:b/>
        </w:rPr>
        <w:t>SUBSTITUTE SENATE BILL 5013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Warnick, Keiser, Dhingra, Kuderer, and Torres)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the first 20,000 gallons of wine sold by a winery in Washington;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2023 c 470 s 1012 are each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Except as provided in (d) of this subsection, there</w:t>
      </w:r>
      <w:r>
        <w:rPr/>
        <w:t xml:space="preserv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w:t>
      </w:r>
      <w:r>
        <w:t>((</w:t>
      </w:r>
      <w:r>
        <w:rPr>
          <w:strike/>
        </w:rPr>
        <w:t xml:space="preserve">There</w:t>
      </w:r>
      <w:r>
        <w:t>))</w:t>
      </w:r>
      <w:r>
        <w:rPr/>
        <w:t xml:space="preserve"> </w:t>
      </w:r>
      <w:r>
        <w:rPr>
          <w:u w:val="single"/>
        </w:rPr>
        <w:t xml:space="preserve">Except as provided in (d) of this subsection, there</w:t>
      </w:r>
      <w:r>
        <w:rPr/>
        <w:t xml:space="preserv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w:t>
      </w:r>
      <w:r>
        <w:t>((</w:t>
      </w:r>
      <w:r>
        <w:rPr>
          <w:strike/>
        </w:rPr>
        <w:t xml:space="preserve">liquor and cannabis</w:t>
      </w:r>
      <w:r>
        <w:t>))</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u w:val="single"/>
        </w:rPr>
        <w:t xml:space="preserve">(d) Until January 1, 2035, a winery's sale of the first 20,000 gallons of table wine or cider in a calendar year is:</w:t>
      </w:r>
    </w:p>
    <w:p>
      <w:pPr>
        <w:spacing w:before="0" w:after="0" w:line="408" w:lineRule="exact"/>
        <w:ind w:left="0" w:right="0" w:firstLine="576"/>
        <w:jc w:val="left"/>
      </w:pPr>
      <w:r>
        <w:rPr>
          <w:u w:val="single"/>
        </w:rPr>
        <w:t xml:space="preserve">(i) Subject to tax at a rate of $0.0528 per liter for table wine or cider; and</w:t>
      </w:r>
    </w:p>
    <w:p>
      <w:pPr>
        <w:spacing w:before="0" w:after="0" w:line="408" w:lineRule="exact"/>
        <w:ind w:left="0" w:right="0" w:firstLine="576"/>
        <w:jc w:val="left"/>
      </w:pPr>
      <w:r>
        <w:rPr>
          <w:u w:val="single"/>
        </w:rPr>
        <w:t xml:space="preserve">(ii) Not subject to any other taxes under this section on sales of the first 20,000 gallons of table wine or cider except for taxes imposed under subsection (3) of this section for the Washington wine commission.</w:t>
      </w:r>
    </w:p>
    <w:p>
      <w:pPr>
        <w:spacing w:before="0" w:after="0" w:line="408" w:lineRule="exact"/>
        <w:ind w:left="0" w:right="0" w:firstLine="576"/>
        <w:jc w:val="left"/>
      </w:pPr>
      <w:r>
        <w:rPr>
          <w:u w:val="single"/>
        </w:rPr>
        <w:t xml:space="preserve">(e) Taxes collected pursuant to (d) of this subsection (1) must be deposited in the liquor revolving fund and are subject to the allocation to Washington State University in RCW 66.08.180(4). </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in subsection (1)(d) of this section, an</w:t>
      </w:r>
      <w:r>
        <w:rPr/>
        <w:t xml:space="preserve">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w:t>
      </w:r>
      <w:r>
        <w:t>((</w:t>
      </w:r>
      <w:r>
        <w:rPr>
          <w:strike/>
        </w:rPr>
        <w:t xml:space="preserve">An</w:t>
      </w:r>
      <w:r>
        <w:t>))</w:t>
      </w:r>
      <w:r>
        <w:rPr/>
        <w:t xml:space="preserve"> </w:t>
      </w:r>
      <w:r>
        <w:rPr>
          <w:u w:val="single"/>
        </w:rPr>
        <w:t xml:space="preserve">Except as provided in subsection (1)(d) of this section, an</w:t>
      </w:r>
      <w:r>
        <w:rPr/>
        <w:t xml:space="preserve">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w:t>
      </w:r>
      <w:r>
        <w:t>((</w:t>
      </w:r>
      <w:r>
        <w:rPr>
          <w:strike/>
        </w:rPr>
        <w:t xml:space="preserve">An</w:t>
      </w:r>
      <w:r>
        <w:t>))</w:t>
      </w:r>
      <w:r>
        <w:rPr/>
        <w:t xml:space="preserve"> </w:t>
      </w:r>
      <w:r>
        <w:rPr>
          <w:u w:val="single"/>
        </w:rPr>
        <w:t xml:space="preserve">Except as provided in subsection (1)(d) of this section, an</w:t>
      </w:r>
      <w:r>
        <w:rPr/>
        <w:t xml:space="preserve">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the wine industry, especially small wineries. Small wineries have faced significant recent and ongoing challenges, including the great recession, COVID-19 pandemic, and climate change impacts, such as increased wildfire smoke and extreme weather events.</w:t>
      </w:r>
    </w:p>
    <w:p>
      <w:pPr>
        <w:spacing w:before="0" w:after="0" w:line="408" w:lineRule="exact"/>
        <w:ind w:left="0" w:right="0" w:firstLine="576"/>
        <w:jc w:val="left"/>
      </w:pPr>
      <w:r>
        <w:rPr/>
        <w:t xml:space="preserve">(4) The joint legislative audit and review committee must conduct an initial evaluation of the tax preference in section 1 of this act by January 1, 2029. A final evaluation of the tax preference must be conducted by January 1, 2034.</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 including the Washington wine commission.</w:t>
      </w:r>
    </w:p>
    <w:p/>
    <w:p>
      <w:pPr>
        <w:jc w:val="center"/>
      </w:pPr>
      <w:r>
        <w:rPr>
          <w:b/>
        </w:rPr>
        <w:t>--- END ---</w:t>
      </w:r>
    </w:p>
    <w:sectPr>
      <w:pgNumType w:start="1"/>
      <w:footerReference xmlns:r="http://schemas.openxmlformats.org/officeDocument/2006/relationships" r:id="Rf922f9936fc145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5984173d8494d" /><Relationship Type="http://schemas.openxmlformats.org/officeDocument/2006/relationships/footer" Target="/word/footer1.xml" Id="Rf922f9936fc14555" /></Relationships>
</file>