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e6914bfbc24839" /></Relationships>
</file>

<file path=word/document.xml><?xml version="1.0" encoding="utf-8"?>
<w:document xmlns:w="http://schemas.openxmlformats.org/wordprocessingml/2006/main">
  <w:body>
    <w:p>
      <w:r>
        <w:t>S-1321.2</w:t>
      </w:r>
    </w:p>
    <w:p>
      <w:pPr>
        <w:jc w:val="center"/>
      </w:pPr>
      <w:r>
        <w:t>_______________________________________________</w:t>
      </w:r>
    </w:p>
    <w:p/>
    <w:p>
      <w:pPr>
        <w:jc w:val="center"/>
      </w:pPr>
      <w:r>
        <w:rPr>
          <w:b/>
        </w:rPr>
        <w:t>SUBSTITUTE SENATE BILL 5050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Wellman, Hunt, Keiser, Kuderer, McCune, Nobles, Rolfes, Wagoner,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2024, during the first consultation before breast implant surgery is performed, a physician licensed under chapter 18.71 RCW or an osteopathic physician licensed under chapter 18.57 RCW must provide the patient with information consistent with the United States federal food and drug administration breast implant safety requirements, known as the "patient decision checklist," including:</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(e) Information on breast implant illness;</w:t>
      </w:r>
    </w:p>
    <w:p>
      <w:pPr>
        <w:spacing w:before="0" w:after="0" w:line="408" w:lineRule="exact"/>
        <w:ind w:left="0" w:right="0" w:firstLine="576"/>
        <w:jc w:val="left"/>
      </w:pPr>
      <w:r>
        <w:rPr/>
        <w:t xml:space="preserve">(f) Information on the systemic symptoms association with breast implants; and</w:t>
      </w:r>
    </w:p>
    <w:p>
      <w:pPr>
        <w:spacing w:before="0" w:after="0" w:line="408" w:lineRule="exact"/>
        <w:ind w:left="0" w:right="0" w:firstLine="576"/>
        <w:jc w:val="left"/>
      </w:pPr>
      <w:r>
        <w:rPr/>
        <w:t xml:space="preserve">(g) Information on the national breast implant registry.</w:t>
      </w:r>
    </w:p>
    <w:p>
      <w:pPr>
        <w:spacing w:before="0" w:after="0" w:line="408" w:lineRule="exact"/>
        <w:ind w:left="0" w:right="0" w:firstLine="576"/>
        <w:jc w:val="left"/>
      </w:pPr>
      <w:r>
        <w:rPr/>
        <w:t xml:space="preserve">(2) The following information is recommended to be provided to patients:</w:t>
      </w:r>
    </w:p>
    <w:p>
      <w:pPr>
        <w:spacing w:before="0" w:after="0" w:line="408" w:lineRule="exact"/>
        <w:ind w:left="0" w:right="0" w:firstLine="576"/>
        <w:jc w:val="left"/>
      </w:pPr>
      <w:r>
        <w:rPr/>
        <w:t xml:space="preserve">(a) Information on any surgical mesh used during breast implant surgery including, but not limited to, mesh made of nondegradable synthetic materials, biodegradable synthetic materials, or animal or human derived tissues. This information may include a warning that no surgical mesh has been approved by the United States food and drug administration for use with breast implants; and</w:t>
      </w:r>
    </w:p>
    <w:p>
      <w:pPr>
        <w:spacing w:before="0" w:after="0" w:line="408" w:lineRule="exact"/>
        <w:ind w:left="0" w:right="0" w:firstLine="576"/>
        <w:jc w:val="left"/>
      </w:pPr>
      <w:r>
        <w:rPr/>
        <w:t xml:space="preserve">(b)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(3)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(4)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(5) A violation of this section constitutes unprofessional conduct under this chapter.</w:t>
      </w:r>
    </w:p>
    <w:p/>
    <w:p>
      <w:pPr>
        <w:jc w:val="center"/>
      </w:pPr>
      <w:r>
        <w:rPr>
          <w:b/>
        </w:rPr>
        <w:t>--- END ---</w:t>
      </w:r>
    </w:p>
    <w:sectPr>
      <w:pgNumType w:start="1"/>
      <w:footerReference xmlns:r="http://schemas.openxmlformats.org/officeDocument/2006/relationships" r:id="Rf15a54dc02ad45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29912266d4948" /><Relationship Type="http://schemas.openxmlformats.org/officeDocument/2006/relationships/footer" Target="/word/footer1.xml" Id="Rf15a54dc02ad45f4" /></Relationships>
</file>