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fc724887a4afb" /></Relationships>
</file>

<file path=word/document.xml><?xml version="1.0" encoding="utf-8"?>
<w:document xmlns:w="http://schemas.openxmlformats.org/wordprocessingml/2006/main">
  <w:body>
    <w:p>
      <w:r>
        <w:t>S-0840.3</w:t>
      </w:r>
    </w:p>
    <w:p>
      <w:pPr>
        <w:jc w:val="center"/>
      </w:pPr>
      <w:r>
        <w:t>_______________________________________________</w:t>
      </w:r>
    </w:p>
    <w:p/>
    <w:p>
      <w:pPr>
        <w:jc w:val="center"/>
      </w:pPr>
      <w:r>
        <w:rPr>
          <w:b/>
        </w:rPr>
        <w:t>SUBSTITUTE SENATE BILL 5080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Conway, Frame, Hasegawa, Kuderer, Lovelett, Nguyen, Nobles, and Stanford; by request of Liquor and Cannabis Board)</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69.50.331, 69.50.335, 69.50.345, and 69.50.345;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 </w:t>
      </w:r>
      <w:r>
        <w:rPr>
          <w:u w:val="single"/>
        </w:rPr>
        <w:t xml:space="preserve">The board may not issue or reissue more than 100 cannabis producer licenses or 100 cannabis processor licenses under this subsection.</w:t>
      </w:r>
    </w:p>
    <w:p>
      <w:pPr>
        <w:spacing w:before="0" w:after="0" w:line="408" w:lineRule="exact"/>
        <w:ind w:left="0" w:right="0" w:firstLine="576"/>
        <w:jc w:val="left"/>
      </w:pPr>
      <w:r>
        <w:rPr>
          <w:u w:val="single"/>
        </w:rPr>
        <w:t xml:space="preserve">(b) In addition to the cannabis retailer licenses that may be issued under (a) of this subsection, beginning January 1, 2023, and continuing every three years until July 1, 2032, the board may, with the approval of the legislature through the passage of a bill, increase the number of cannabis retailer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(c)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(d) At the time of licensure, all licenses issued under the social equity program under this section may be located in any city, town, or county in the state that allows cannabis retail or cannabis processing business activity at the proposed location, regardless of:</w:t>
      </w:r>
    </w:p>
    <w:p>
      <w:pPr>
        <w:spacing w:before="0" w:after="0" w:line="408" w:lineRule="exact"/>
        <w:ind w:left="0" w:right="0" w:firstLine="576"/>
        <w:jc w:val="left"/>
      </w:pPr>
      <w:r>
        <w:rPr>
          <w:u w:val="single"/>
        </w:rPr>
        <w:t xml:space="preserve">(i) Whether a cannabis retailer license or cannabis processor license was originally allocated to or issued in another city, town, or county; and</w:t>
      </w:r>
    </w:p>
    <w:p>
      <w:pPr>
        <w:spacing w:before="0" w:after="0" w:line="408" w:lineRule="exact"/>
        <w:ind w:left="0" w:right="0" w:firstLine="576"/>
        <w:jc w:val="left"/>
      </w:pPr>
      <w:r>
        <w:rPr>
          <w:u w:val="single"/>
        </w:rPr>
        <w:t xml:space="preserve">(ii) The maximum number of retail cannabis licenses established by the board for each county under RCW 69.50.345.</w:t>
      </w:r>
    </w:p>
    <w:p>
      <w:pPr>
        <w:spacing w:before="0" w:after="0" w:line="408" w:lineRule="exact"/>
        <w:ind w:left="0" w:right="0" w:firstLine="576"/>
        <w:jc w:val="left"/>
      </w:pPr>
      <w:r>
        <w:rPr>
          <w:u w:val="single"/>
        </w:rPr>
        <w:t xml:space="preserve">(e)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December 31, 2029</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 </w:t>
      </w:r>
      <w:r>
        <w:rPr>
          <w:u w:val="single"/>
        </w:rPr>
        <w:t xml:space="preserve">an applicant</w:t>
      </w:r>
      <w:r>
        <w:rPr/>
        <w:t xml:space="preserve">:</w:t>
      </w:r>
    </w:p>
    <w:p>
      <w:pPr>
        <w:spacing w:before="0" w:after="0" w:line="408" w:lineRule="exact"/>
        <w:ind w:left="0" w:right="0" w:firstLine="576"/>
        <w:jc w:val="left"/>
      </w:pPr>
      <w:r>
        <w:rPr/>
        <w:t xml:space="preserve">(i) </w:t>
      </w:r>
      <w:r>
        <w:t>((</w:t>
      </w:r>
      <w:r>
        <w:rPr>
          <w:strike/>
        </w:rPr>
        <w:t xml:space="preserve">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w:t>
      </w:r>
      <w:r>
        <w:t>((</w:t>
      </w:r>
      <w:r>
        <w:rPr>
          <w:strike/>
        </w:rPr>
        <w:t xml:space="preserve">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r>
        <w:t>))</w:t>
      </w:r>
      <w:r>
        <w:rPr/>
        <w:t xml:space="preserve"> </w:t>
      </w:r>
      <w:r>
        <w:rPr>
          <w:u w:val="single"/>
        </w:rPr>
        <w:t xml:space="preserve">indicates how the cannabis licensee will work to promote social equity goals in their community</w:t>
      </w:r>
      <w:r>
        <w:rPr/>
        <w:t xml:space="preserve">;</w:t>
      </w:r>
    </w:p>
    <w:p>
      <w:pPr>
        <w:spacing w:before="0" w:after="0" w:line="408" w:lineRule="exact"/>
        <w:ind w:left="0" w:right="0" w:firstLine="576"/>
        <w:jc w:val="left"/>
      </w:pPr>
      <w:r>
        <w:rPr/>
        <w:t xml:space="preserve">(ii) A description of how </w:t>
      </w:r>
      <w:r>
        <w:t>((</w:t>
      </w:r>
      <w:r>
        <w:rPr>
          <w:strike/>
        </w:rPr>
        <w:t xml:space="preserve">issuing a</w:t>
      </w:r>
      <w:r>
        <w:t>))</w:t>
      </w:r>
      <w:r>
        <w:rPr/>
        <w:t xml:space="preserve"> </w:t>
      </w:r>
      <w:r>
        <w:rPr>
          <w:u w:val="single"/>
        </w:rPr>
        <w:t xml:space="preserve">the</w:t>
      </w:r>
      <w:r>
        <w:rPr/>
        <w:t xml:space="preserve"> cannabis </w:t>
      </w:r>
      <w:r>
        <w:t>((</w:t>
      </w:r>
      <w:r>
        <w:rPr>
          <w:strike/>
        </w:rPr>
        <w:t xml:space="preserve">retail license to the social equity applicant</w:t>
      </w:r>
      <w:r>
        <w:t>))</w:t>
      </w:r>
      <w:r>
        <w:rPr/>
        <w:t xml:space="preserve"> </w:t>
      </w:r>
      <w:r>
        <w:rPr>
          <w:u w:val="single"/>
        </w:rPr>
        <w:t xml:space="preserve">licensee</w:t>
      </w:r>
      <w:r>
        <w:rPr/>
        <w:t xml:space="preserve"> will meet social equity goals;</w:t>
      </w:r>
    </w:p>
    <w:p>
      <w:pPr>
        <w:spacing w:before="0" w:after="0" w:line="408" w:lineRule="exact"/>
        <w:ind w:left="0" w:right="0" w:firstLine="576"/>
        <w:jc w:val="left"/>
      </w:pPr>
      <w:r>
        <w:rPr/>
        <w:t xml:space="preserve">(iii) </w:t>
      </w:r>
      <w:r>
        <w:t>((</w:t>
      </w:r>
      <w:r>
        <w:rPr>
          <w:strike/>
        </w:rPr>
        <w:t xml:space="preserve">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w:t>
      </w:r>
      <w:r>
        <w:t>))</w:t>
      </w:r>
      <w:r>
        <w:rPr/>
        <w:t xml:space="preserve"> The composition of the workforce the </w:t>
      </w:r>
      <w:r>
        <w:t>((</w:t>
      </w:r>
      <w:r>
        <w:rPr>
          <w:strike/>
        </w:rPr>
        <w:t xml:space="preserve">social equity applicant</w:t>
      </w:r>
      <w:r>
        <w:t>))</w:t>
      </w:r>
      <w:r>
        <w:rPr/>
        <w:t xml:space="preserve"> </w:t>
      </w:r>
      <w:r>
        <w:rPr>
          <w:u w:val="single"/>
        </w:rPr>
        <w:t xml:space="preserve">licensee has employed or</w:t>
      </w:r>
      <w:r>
        <w:rPr/>
        <w:t xml:space="preserve"> intends to hire;</w:t>
      </w:r>
    </w:p>
    <w:p>
      <w:pPr>
        <w:spacing w:before="0" w:after="0" w:line="408" w:lineRule="exact"/>
        <w:ind w:left="0" w:right="0" w:firstLine="576"/>
        <w:jc w:val="left"/>
      </w:pPr>
      <w:r>
        <w:t>((</w:t>
      </w:r>
      <w:r>
        <w:rPr>
          <w:strike/>
        </w:rPr>
        <w:t xml:space="preserve">(v) Neighborhood characteristics of the location where the social equity applicant intends to operate, focusing especially on disproportionately impacted areas;</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Business plans involving partnerships or assistance to organizations or residents with connection to populations with a history of high rates of enforcement of cannabis prohibition.</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4517c405a0b0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d158e49764ec5" /><Relationship Type="http://schemas.openxmlformats.org/officeDocument/2006/relationships/footer" Target="/word/footer1.xml" Id="R4517c405a0b04f28" /></Relationships>
</file>