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af5eb787a448b" /></Relationships>
</file>

<file path=word/document.xml><?xml version="1.0" encoding="utf-8"?>
<w:document xmlns:w="http://schemas.openxmlformats.org/wordprocessingml/2006/main">
  <w:body>
    <w:p>
      <w:r>
        <w:t>S-1522.1</w:t>
      </w:r>
    </w:p>
    <w:p>
      <w:pPr>
        <w:jc w:val="center"/>
      </w:pPr>
      <w:r>
        <w:t>_______________________________________________</w:t>
      </w:r>
    </w:p>
    <w:p/>
    <w:p>
      <w:pPr>
        <w:jc w:val="center"/>
      </w:pPr>
      <w:r>
        <w:rPr>
          <w:b/>
        </w:rPr>
        <w:t>SUBSTITUTE SENATE BILL 5111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Conway, Kuderer, Randall, and Robinson)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payment for accrued and unused sick leave for certain construction workers; amending RCW 49.46.210 and 49.46.180;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2022 c 281 s 6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w:t>
      </w:r>
      <w:r>
        <w:t>((</w:t>
      </w:r>
      <w:r>
        <w:rPr>
          <w:strike/>
        </w:rPr>
        <w:t xml:space="preserve">Unused</w:t>
      </w:r>
      <w:r>
        <w:t>))</w:t>
      </w:r>
      <w:r>
        <w:rPr/>
        <w:t xml:space="preserve"> </w:t>
      </w:r>
      <w:r>
        <w:rPr>
          <w:u w:val="single"/>
        </w:rPr>
        <w:t xml:space="preserve">Except as provided in (l) of this subsection, accrued and unused</w:t>
      </w:r>
      <w:r>
        <w:rPr/>
        <w:t xml:space="preserve"> paid sick leave carries over to the following year, </w:t>
      </w:r>
      <w:r>
        <w:t>((</w:t>
      </w:r>
      <w:r>
        <w:rPr>
          <w:strike/>
        </w:rPr>
        <w:t xml:space="preserve">except that</w:t>
      </w:r>
      <w:r>
        <w:t>))</w:t>
      </w:r>
      <w:r>
        <w:rPr/>
        <w:t xml:space="preserve"> </w:t>
      </w:r>
      <w:r>
        <w:rPr>
          <w:u w:val="single"/>
        </w:rPr>
        <w:t xml:space="preserve">but</w:t>
      </w:r>
      <w:r>
        <w:rPr/>
        <w:t xml:space="preserve"> an employer is not required to allow an employee to carry over paid sick leave in excess of </w:t>
      </w:r>
      <w:r>
        <w:t>((</w:t>
      </w:r>
      <w:r>
        <w:rPr>
          <w:strike/>
        </w:rPr>
        <w:t xml:space="preserve">forty</w:t>
      </w:r>
      <w:r>
        <w:t>))</w:t>
      </w:r>
      <w:r>
        <w:rPr/>
        <w:t xml:space="preserve"> </w:t>
      </w:r>
      <w:r>
        <w:rPr>
          <w:u w:val="single"/>
        </w:rPr>
        <w:t xml:space="preserve">40</w:t>
      </w:r>
      <w:r>
        <w:rPr/>
        <w:t xml:space="preserve"> hours.</w:t>
      </w:r>
    </w:p>
    <w:p>
      <w:pPr>
        <w:spacing w:before="0" w:after="0" w:line="408" w:lineRule="exact"/>
        <w:ind w:left="0" w:right="0" w:firstLine="576"/>
        <w:jc w:val="left"/>
      </w:pPr>
      <w:r>
        <w:rPr/>
        <w:t xml:space="preserve">(k) </w:t>
      </w:r>
      <w:r>
        <w:t>((</w:t>
      </w:r>
      <w:r>
        <w:rPr>
          <w:strike/>
        </w:rPr>
        <w:t xml:space="preserve">This section does not require an employer</w:t>
      </w:r>
      <w:r>
        <w:t>))</w:t>
      </w:r>
      <w:r>
        <w:rPr/>
        <w:t xml:space="preserve"> </w:t>
      </w:r>
      <w:r>
        <w:rPr>
          <w:u w:val="single"/>
        </w:rPr>
        <w:t xml:space="preserve">Except as provided in (l) of this subsection, an employer is not required</w:t>
      </w:r>
      <w:r>
        <w:rPr/>
        <w:t xml:space="preserve"> to provide financial or other reimbursement for accrued and unused paid sick leave to any employee upon the employee's termination, resignation, retirement, or other separation from employment. When there is a separation from employment and the employee is rehired within </w:t>
      </w:r>
      <w:r>
        <w:t>((</w:t>
      </w:r>
      <w:r>
        <w:rPr>
          <w:strike/>
        </w:rPr>
        <w:t xml:space="preserve">twelve</w:t>
      </w:r>
      <w:r>
        <w:t>))</w:t>
      </w:r>
      <w:r>
        <w:rPr/>
        <w:t xml:space="preserve"> </w:t>
      </w:r>
      <w:r>
        <w:rPr>
          <w:u w:val="single"/>
        </w:rPr>
        <w:t xml:space="preserve">12</w:t>
      </w:r>
      <w:r>
        <w:rPr/>
        <w:t xml:space="preser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w:t>
      </w:r>
      <w:r>
        <w:rPr>
          <w:u w:val="single"/>
        </w:rPr>
        <w:t xml:space="preserve">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u w:val="single"/>
        </w:rPr>
        <w:t xml:space="preserve">(l) For construction workers covered under an approved referral union program authorized under RCW 50.20.010 and in compliance with WAC 192-210-110 who have not met the 90th day eligibility under (d) of this subsection at the time of separation, the employer must pay the former worker the balance of their accrued and unused paid sick leave upon separation.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180</w:t>
      </w:r>
      <w:r>
        <w:rPr/>
        <w:t xml:space="preserve"> and 2019 c 236 s 4 are each amended to read as follows:</w:t>
      </w:r>
    </w:p>
    <w:p>
      <w:pPr>
        <w:spacing w:before="0" w:after="0" w:line="408" w:lineRule="exact"/>
        <w:ind w:left="0" w:right="0" w:firstLine="576"/>
        <w:jc w:val="left"/>
      </w:pPr>
      <w:r>
        <w:rPr/>
        <w:t xml:space="preserve">(1) The sick leave provisions of RCW 49.46.200 through 49.46.830 shall not apply to construction workers covered by a collective bargaining agreement, provided:</w:t>
      </w:r>
    </w:p>
    <w:p>
      <w:pPr>
        <w:spacing w:before="0" w:after="0" w:line="408" w:lineRule="exact"/>
        <w:ind w:left="0" w:right="0" w:firstLine="576"/>
        <w:jc w:val="left"/>
      </w:pPr>
      <w:r>
        <w:rPr/>
        <w:t xml:space="preserve">(a)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(b) The collective bargaining agreement establishes equivalent sick leave provisions, as provided in subsection (2) of this section; and</w:t>
      </w:r>
    </w:p>
    <w:p>
      <w:pPr>
        <w:spacing w:before="0" w:after="0" w:line="408" w:lineRule="exact"/>
        <w:ind w:left="0" w:right="0" w:firstLine="576"/>
        <w:jc w:val="left"/>
      </w:pPr>
      <w:r>
        <w:rPr/>
        <w:t xml:space="preserve">(c)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0" w:after="0" w:line="408" w:lineRule="exact"/>
        <w:ind w:left="0" w:right="0" w:firstLine="576"/>
        <w:jc w:val="left"/>
      </w:pPr>
      <w:r>
        <w:rPr/>
        <w:t xml:space="preserve">(2) Equivalent sick leave provisions provided by a collective bargaining agreement must meet the requirements of RCW 49.46.200 through 49.46.830 and the rules adopted by the department of labor and industries, except the payment of leave at the normal hourly compensation may occur before usage </w:t>
      </w:r>
      <w:r>
        <w:rPr>
          <w:u w:val="single"/>
        </w:rPr>
        <w:t xml:space="preserve">and the payment of accrued and unused sick leave may be made in accordance with RCW 49.46.210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16752d7eb2246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00483c6fb84023" /><Relationship Type="http://schemas.openxmlformats.org/officeDocument/2006/relationships/footer" Target="/word/footer1.xml" Id="Ra16752d7eb2246ac" /></Relationships>
</file>