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2979469da44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Hunt, Hasegawa, Kuderer, Valdez, C. Wilson, and J. Wilson; by request of Secretary of State)</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the date of the original transaction, if the voter has not declined registration, unless the agency transaction occurred after the deadline to register to vote under RCW 29A.08.140(1)(a), in which case the applicant is considered to be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business days after the receipt of an application or residential address change, or, if the application or residential address change is received after the deadline to register to vote or update a voter registration under RCW 29A.08.140 (1)(a) or (2)(a)(i), within five business days after the election,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business days of the original application, or, if the information is received after the deadline to register to vote or update a voter registration under RCW 29A.08.140 (1)(a) or (2)(a)(i), within five business days after the election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w:t>
      </w:r>
      <w:r>
        <w:rPr>
          <w:u w:val="single"/>
        </w:rPr>
        <w:t xml:space="preserve">For new registrants that reply within 15 days from the date of mailing of the automatic voter registration acknowledgment notice package declining registration,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through 16, and 20 through 23 of this act take effect July 15, 2024.</w:t>
      </w:r>
    </w:p>
    <w:p/>
    <w:p>
      <w:pPr>
        <w:jc w:val="center"/>
      </w:pPr>
      <w:r>
        <w:rPr>
          <w:b/>
        </w:rPr>
        <w:t>--- END ---</w:t>
      </w:r>
    </w:p>
    <w:sectPr>
      <w:pgNumType w:start="1"/>
      <w:footerReference xmlns:r="http://schemas.openxmlformats.org/officeDocument/2006/relationships" r:id="Re30fab3b6f4e4b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2fd60a0d34db0" /><Relationship Type="http://schemas.openxmlformats.org/officeDocument/2006/relationships/footer" Target="/word/footer1.xml" Id="Re30fab3b6f4e4b79" /></Relationships>
</file>