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af17894a74fbf" /></Relationships>
</file>

<file path=word/document.xml><?xml version="1.0" encoding="utf-8"?>
<w:document xmlns:w="http://schemas.openxmlformats.org/wordprocessingml/2006/main">
  <w:body>
    <w:p>
      <w:r>
        <w:t>S-4225.2</w:t>
      </w:r>
    </w:p>
    <w:p>
      <w:pPr>
        <w:jc w:val="center"/>
      </w:pPr>
      <w:r>
        <w:t>_______________________________________________</w:t>
      </w:r>
    </w:p>
    <w:p/>
    <w:p>
      <w:pPr>
        <w:jc w:val="center"/>
      </w:pPr>
      <w:r>
        <w:rPr>
          <w:b/>
        </w:rPr>
        <w:t>SUBSTITUTE SENATE BILL 5118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Housing (originally sponsored by Senators Kuderer, Wellman, Frame, Hunt, Keiser, Liias, Lovelett, Nobles, and Randall)</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multifamily property tax exemption to promote development of long-term affordable housing; amending RCW 84.14.010, 84.14.020, 84.14.021, 84.14.040, 84.14.070, 84.14.100, and 84.14.110;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r>
        <w:t>))</w:t>
      </w:r>
      <w:r>
        <w:rPr/>
        <w:t xml:space="preserve"> </w:t>
      </w:r>
      <w:r>
        <w:rPr>
          <w:u w:val="single"/>
        </w:rPr>
        <w:t xml:space="preserve">any city or town, including a code city</w:t>
      </w:r>
      <w:r>
        <w:rPr/>
        <w:t xml:space="preserve">.</w:t>
      </w:r>
    </w:p>
    <w:p>
      <w:pPr>
        <w:spacing w:before="0" w:after="0" w:line="408" w:lineRule="exact"/>
        <w:ind w:left="0" w:right="0" w:firstLine="576"/>
        <w:jc w:val="left"/>
      </w:pPr>
      <w:r>
        <w:rPr/>
        <w:t xml:space="preserve">(4) </w:t>
      </w:r>
      <w:r>
        <w:rPr>
          <w:u w:val="single"/>
        </w:rPr>
        <w:t xml:space="preserve">"Conversion" means either the conversion of an existing residential building, in whole or in part, or the conversion of a nonresidential building, in whole or in part,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w:t>
      </w:r>
      <w:r>
        <w:rPr>
          <w:u w:val="single"/>
        </w:rPr>
        <w:t xml:space="preserve">area</w:t>
      </w:r>
      <w:r>
        <w:rPr/>
        <w:t xml:space="preserve"> median </w:t>
      </w:r>
      <w:r>
        <w:t>((</w:t>
      </w:r>
      <w:r>
        <w:rPr>
          <w:strike/>
        </w:rPr>
        <w:t xml:space="preserve">family</w:t>
      </w:r>
      <w:r>
        <w:t>))</w:t>
      </w:r>
      <w:r>
        <w:rPr/>
        <w:t xml:space="preserve">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w:t>
      </w:r>
      <w:r>
        <w:rPr>
          <w:u w:val="single"/>
        </w:rPr>
        <w:t xml:space="preserve">area</w:t>
      </w:r>
      <w:r>
        <w:rPr/>
        <w:t xml:space="preserve"> median </w:t>
      </w:r>
      <w:r>
        <w:t>((</w:t>
      </w:r>
      <w:r>
        <w:rPr>
          <w:strike/>
        </w:rPr>
        <w:t xml:space="preserve">family</w:t>
      </w:r>
      <w:r>
        <w:t>))</w:t>
      </w:r>
      <w:r>
        <w:rPr/>
        <w:t xml:space="preserve">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w:t>
      </w:r>
      <w:r>
        <w:rPr>
          <w:u w:val="single"/>
        </w:rPr>
        <w:t xml:space="preserve">residential or nonresidential</w:t>
      </w:r>
      <w:r>
        <w:rPr/>
        <w:t xml:space="preserve">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w:t>
      </w:r>
      <w:r>
        <w:rPr>
          <w:u w:val="single"/>
        </w:rPr>
        <w:t xml:space="preserve">residential or nonresidential</w:t>
      </w:r>
      <w:r>
        <w:rPr/>
        <w:t xml:space="preserve"> structures, that are vacant </w:t>
      </w:r>
      <w:r>
        <w:rPr>
          <w:u w:val="single"/>
        </w:rPr>
        <w:t xml:space="preserve">or underutilized</w:t>
      </w:r>
      <w:r>
        <w:rPr/>
        <w:t xml:space="preserve">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2021 c 187 s 3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w:t>
      </w:r>
      <w:r>
        <w:t>((</w:t>
      </w:r>
      <w:r>
        <w:rPr>
          <w:strike/>
        </w:rPr>
        <w:t xml:space="preserve">For properties for which applications for certificates of tax exemption eligibility are submitted under this chapter before July 22, 2007, the value is exempt for </w:t>
      </w:r>
      <w:r>
        <w:t>((</w:t>
      </w:r>
      <w:r>
        <w:rPr>
          <w:strike/>
        </w:rPr>
        <w:t xml:space="preserve">ten</w:t>
      </w:r>
      <w:r>
        <w:t>))</w:t>
      </w:r>
      <w:r>
        <w:rPr>
          <w:strike/>
        </w:rPr>
        <w:t xml:space="preserve"> </w:t>
      </w:r>
      <w:r>
        <w:rPr>
          <w:strike/>
          <w:u w:val="single"/>
        </w:rPr>
        <w:t xml:space="preserve">10</w:t>
      </w:r>
      <w:r>
        <w:rPr>
          <w:strike/>
        </w:rPr>
        <w:t xml:space="preserve"> successive years beginning January 1 of the year immediately following the calendar year of issuance of the certificate;</w:t>
      </w:r>
    </w:p>
    <w:p>
      <w:pPr>
        <w:spacing w:before="0" w:after="0" w:line="408" w:lineRule="exact"/>
        <w:ind w:left="0" w:right="0" w:firstLine="576"/>
        <w:jc w:val="left"/>
      </w:pPr>
      <w:r>
        <w:rPr>
          <w:strike/>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strike/>
        </w:rPr>
        <w:t xml:space="preserve">(A)</w:t>
      </w:r>
      <w:r>
        <w:t>))</w:t>
      </w:r>
      <w:r>
        <w:rPr/>
        <w:t xml:space="preserve"> For eight successive years beginning January 1st of the year immediately following the calendar year of issuance of the certificate;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w:t>
      </w:r>
      <w:r>
        <w:t>((</w:t>
      </w:r>
      <w:r>
        <w:rPr>
          <w:strike/>
        </w:rPr>
        <w:t xml:space="preserve">twelve</w:t>
      </w:r>
      <w:r>
        <w:t>))</w:t>
      </w:r>
      <w:r>
        <w:rPr/>
        <w:t xml:space="preserve"> </w:t>
      </w:r>
      <w:r>
        <w:rPr>
          <w:u w:val="single"/>
        </w:rPr>
        <w:t xml:space="preserve">12</w:t>
      </w:r>
      <w:r>
        <w:rPr/>
        <w:t xml:space="preserve"> successive years beginning January 1st of the year immediately following the calendar year of issuance of the certificate, if the property otherwise qualifies for the exemption under this chapter and meets the conditions in this subsection (1)(a)(ii)</w:t>
      </w:r>
      <w:r>
        <w:t>((</w:t>
      </w:r>
      <w:r>
        <w:rPr>
          <w:strike/>
        </w:rPr>
        <w:t xml:space="preserve">(B)</w:t>
      </w:r>
      <w:r>
        <w:t>))</w:t>
      </w:r>
      <w:r>
        <w:rPr/>
        <w:t xml:space="preserve">. For the property to qualify for the </w:t>
      </w:r>
      <w:r>
        <w:t>((</w:t>
      </w:r>
      <w:r>
        <w:rPr>
          <w:strike/>
        </w:rPr>
        <w:t xml:space="preserve">twelve</w:t>
      </w:r>
      <w:r>
        <w:t>))</w:t>
      </w:r>
      <w:r>
        <w:rPr/>
        <w:t xml:space="preserve"> </w:t>
      </w:r>
      <w:r>
        <w:rPr>
          <w:u w:val="single"/>
        </w:rPr>
        <w:t xml:space="preserve">12</w:t>
      </w:r>
      <w:r>
        <w:rPr/>
        <w:t xml:space="preserve">-year exemption under this subsection, the applicant must commit to renting or selling at least </w:t>
      </w:r>
      <w:r>
        <w:t>((</w:t>
      </w:r>
      <w:r>
        <w:rPr>
          <w:strike/>
        </w:rPr>
        <w:t xml:space="preserve">twenty</w:t>
      </w:r>
      <w:r>
        <w:t>))</w:t>
      </w:r>
      <w:r>
        <w:rPr/>
        <w:t xml:space="preserve"> </w:t>
      </w:r>
      <w:r>
        <w:rPr>
          <w:u w:val="single"/>
        </w:rPr>
        <w:t xml:space="preserve">20</w:t>
      </w:r>
      <w:r>
        <w:rPr/>
        <w:t xml:space="preserve"> percent of the multifamily housing </w:t>
      </w:r>
      <w:r>
        <w:rPr>
          <w:u w:val="single"/>
        </w:rPr>
        <w:t xml:space="preserve">living</w:t>
      </w:r>
      <w:r>
        <w:rPr/>
        <w:t xml:space="preserve"> units </w:t>
      </w:r>
      <w:r>
        <w:rPr>
          <w:u w:val="single"/>
        </w:rPr>
        <w:t xml:space="preserve">net square footage</w:t>
      </w:r>
      <w:r>
        <w:rPr/>
        <w:t xml:space="preserve"> as affordable housing units to </w:t>
      </w:r>
      <w:r>
        <w:rPr>
          <w:u w:val="single"/>
        </w:rPr>
        <w:t xml:space="preserve">a mix of</w:t>
      </w:r>
      <w:r>
        <w:rPr/>
        <w:t xml:space="preserve"> low and moderate</w:t>
      </w:r>
      <w:r>
        <w:rPr/>
        <w:noBreakHyphen/>
      </w:r>
      <w:r>
        <w:rPr/>
        <w:t xml:space="preserve">income households, </w:t>
      </w:r>
      <w:r>
        <w:rPr>
          <w:u w:val="single"/>
        </w:rPr>
        <w:t xml:space="preserve">ensuring that the number of bedrooms for the designated affordable dwelling units is proportional to the number of bedrooms provided at the property as market rate units,</w:t>
      </w:r>
      <w:r>
        <w:rPr/>
        <w:t xml:space="preserve"> and the property must satisfy that commitment and any additional affordability and income eligibility conditions adopted by the local government under this chapter. In the case of projects intended exclusively for owner occupancy, </w:t>
      </w:r>
      <w:r>
        <w:rPr>
          <w:u w:val="single"/>
        </w:rPr>
        <w:t xml:space="preserve">the authorizing authority must require the applicant to record a covenant or deed restriction that defines the affordability requirements and their duration and</w:t>
      </w:r>
      <w:r>
        <w:rPr/>
        <w:t xml:space="preserve"> the minimum requirement of this subsection (1)(a)(ii)</w:t>
      </w:r>
      <w:r>
        <w:t>((</w:t>
      </w:r>
      <w:r>
        <w:rPr>
          <w:strike/>
        </w:rPr>
        <w:t xml:space="preserve">(B)</w:t>
      </w:r>
      <w:r>
        <w:t>))</w:t>
      </w:r>
      <w:r>
        <w:rPr/>
        <w:t xml:space="preserve"> may be satisfied solely through housing affordable to moderate</w:t>
      </w:r>
      <w:r>
        <w:rPr/>
        <w:noBreakHyphen/>
      </w:r>
      <w:r>
        <w:rPr/>
        <w:t xml:space="preserve">income households;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For 20 successive years beginning January 1st of the year immediately following the calendar year of issuance of the certificate, if the property otherwise qualifies for the exemption under this chapter and meets the conditions in this subsection (1)(a)</w:t>
      </w:r>
      <w:r>
        <w:t>((</w:t>
      </w:r>
      <w:r>
        <w:rPr>
          <w:strike/>
        </w:rPr>
        <w:t xml:space="preserve">(ii)(C)</w:t>
      </w:r>
      <w:r>
        <w:t>))</w:t>
      </w:r>
      <w:r>
        <w:rPr/>
        <w:t xml:space="preserve"> </w:t>
      </w:r>
      <w:r>
        <w:rPr>
          <w:u w:val="single"/>
        </w:rPr>
        <w:t xml:space="preserve">(iii)</w:t>
      </w:r>
      <w:r>
        <w:rPr/>
        <w:t xml:space="preserve">. For the property to qualify for the 20-year exemption under this subsection, the project must be located within </w:t>
      </w:r>
      <w:r>
        <w:t>((</w:t>
      </w:r>
      <w:r>
        <w:rPr>
          <w:strike/>
        </w:rPr>
        <w:t xml:space="preserve">one mile of</w:t>
      </w:r>
      <w:r>
        <w:t>))</w:t>
      </w:r>
      <w:r>
        <w:rPr/>
        <w:t xml:space="preserve"> </w:t>
      </w:r>
      <w:r>
        <w:rPr>
          <w:u w:val="single"/>
        </w:rPr>
        <w:t xml:space="preserve">a residential targeted area that includes areas with</w:t>
      </w:r>
      <w:r>
        <w:rPr/>
        <w:t xml:space="preserve"> high capacity transit of at least 15 minute scheduled frequency, in a city that has implemented</w:t>
      </w:r>
      <w:r>
        <w:t>((</w:t>
      </w:r>
      <w:r>
        <w:rPr>
          <w:strike/>
        </w:rPr>
        <w:t xml:space="preserve">, as of July 25, 2021,</w:t>
      </w:r>
      <w:r>
        <w:t>))</w:t>
      </w:r>
      <w:r>
        <w:rPr/>
        <w:t xml:space="preserve"> a mandatory inclusionary zoning requirement for affordable housing that ensures affordability of housing units for a period of at least 99 years </w:t>
      </w:r>
      <w:r>
        <w:t>((</w:t>
      </w:r>
      <w:r>
        <w:rPr>
          <w:strike/>
        </w:rPr>
        <w:t xml:space="preserve">and that has a population of no more than 65,000 as measured on July 25, 2021</w:t>
      </w:r>
      <w:r>
        <w:t>))</w:t>
      </w:r>
      <w:r>
        <w:rPr/>
        <w:t xml:space="preserve">. To qualify for the exemption provided in this subsection (1)(a)</w:t>
      </w:r>
      <w:r>
        <w:t>((</w:t>
      </w:r>
      <w:r>
        <w:rPr>
          <w:strike/>
        </w:rPr>
        <w:t xml:space="preserve">(ii)(C)</w:t>
      </w:r>
      <w:r>
        <w:t>))</w:t>
      </w:r>
      <w:r>
        <w:rPr/>
        <w:t xml:space="preserve"> </w:t>
      </w:r>
      <w:r>
        <w:rPr>
          <w:u w:val="single"/>
        </w:rPr>
        <w:t xml:space="preserve">(iii)</w:t>
      </w:r>
      <w:r>
        <w:rPr/>
        <w:t xml:space="preserve">, the applicant must commit to renting at least 20 percent of the </w:t>
      </w:r>
      <w:r>
        <w:t>((</w:t>
      </w:r>
      <w:r>
        <w:rPr>
          <w:strike/>
        </w:rPr>
        <w:t xml:space="preserve">dwelling</w:t>
      </w:r>
      <w:r>
        <w:t>))</w:t>
      </w:r>
      <w:r>
        <w:rPr/>
        <w:t xml:space="preserve"> </w:t>
      </w:r>
      <w:r>
        <w:rPr>
          <w:u w:val="single"/>
        </w:rPr>
        <w:t xml:space="preserve">living</w:t>
      </w:r>
      <w:r>
        <w:rPr/>
        <w:t xml:space="preserve"> units </w:t>
      </w:r>
      <w:r>
        <w:rPr>
          <w:u w:val="single"/>
        </w:rPr>
        <w:t xml:space="preserve">net square footage</w:t>
      </w:r>
      <w:r>
        <w:rPr/>
        <w:t xml:space="preserve"> as affordable </w:t>
      </w:r>
      <w:r>
        <w:rPr>
          <w:u w:val="single"/>
        </w:rPr>
        <w:t xml:space="preserve">housing units</w:t>
      </w:r>
      <w:r>
        <w:rPr/>
        <w:t xml:space="preserve"> to low-income households for a term of at least 99 years, </w:t>
      </w:r>
      <w:r>
        <w:rPr>
          <w:u w:val="single"/>
        </w:rPr>
        <w:t xml:space="preserve">ensuring that the number of bedrooms for the designated affordable dwelling units is proportional to the number of bedrooms provided at the property as market rate units,</w:t>
      </w:r>
      <w:r>
        <w:rPr/>
        <w:t xml:space="preserve">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w:t>
      </w:r>
      <w:r>
        <w:t>((</w:t>
      </w:r>
      <w:r>
        <w:rPr>
          <w:strike/>
        </w:rPr>
        <w:t xml:space="preserve">(ii)(C)</w:t>
      </w:r>
      <w:r>
        <w:t>))</w:t>
      </w:r>
      <w:r>
        <w:rPr/>
        <w:t xml:space="preserve"> </w:t>
      </w:r>
      <w:r>
        <w:rPr>
          <w:u w:val="single"/>
        </w:rPr>
        <w:t xml:space="preserve">(iii)</w:t>
      </w:r>
      <w:r>
        <w:rPr/>
        <w:t xml:space="preserve">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w:t>
      </w:r>
      <w:r>
        <w:t>((</w:t>
      </w:r>
      <w:r>
        <w:rPr>
          <w:strike/>
        </w:rPr>
        <w:t xml:space="preserve">(ii)(C)</w:t>
      </w:r>
      <w:r>
        <w:t>))</w:t>
      </w:r>
      <w:r>
        <w:rPr/>
        <w:t xml:space="preserve"> </w:t>
      </w:r>
      <w:r>
        <w:rPr>
          <w:u w:val="single"/>
        </w:rPr>
        <w:t xml:space="preserve">(iii)</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Until December 31, 2026, </w:t>
      </w:r>
      <w:r>
        <w:t>((</w:t>
      </w:r>
      <w:r>
        <w:rPr>
          <w:strike/>
        </w:rPr>
        <w:t xml:space="preserve">for a city as defined in RCW 84.14.010(3)(d),</w:t>
      </w:r>
      <w:r>
        <w:t>))</w:t>
      </w:r>
      <w:r>
        <w:rPr/>
        <w:t xml:space="preserve"> for 12 successive years beginning January 1st of the year immediately following the calendar year of issuance of the certificate, if the property otherwise qualifies for the exemption under this chapter and meets the conditions in this subsection (1)(a)</w:t>
      </w:r>
      <w:r>
        <w:t>((</w:t>
      </w:r>
      <w:r>
        <w:rPr>
          <w:strike/>
        </w:rPr>
        <w:t xml:space="preserve">(iii)</w:t>
      </w:r>
      <w:r>
        <w:t>))</w:t>
      </w:r>
      <w:r>
        <w:rPr/>
        <w:t xml:space="preserve"> </w:t>
      </w:r>
      <w:r>
        <w:rPr>
          <w:u w:val="single"/>
        </w:rPr>
        <w:t xml:space="preserve">(iv)</w:t>
      </w:r>
      <w:r>
        <w:rPr/>
        <w:t xml:space="preserve">. For the property to qualify for the 12-year exemption under this subsection, the applicant must commit to renting or selling at least 20 percent of the multifamily housing </w:t>
      </w:r>
      <w:r>
        <w:rPr>
          <w:u w:val="single"/>
        </w:rPr>
        <w:t xml:space="preserve">living</w:t>
      </w:r>
      <w:r>
        <w:rPr/>
        <w:t xml:space="preserve"> units </w:t>
      </w:r>
      <w:r>
        <w:rPr>
          <w:u w:val="single"/>
        </w:rPr>
        <w:t xml:space="preserve">net square footage</w:t>
      </w:r>
      <w:r>
        <w:rPr/>
        <w:t xml:space="preserve"> as affordable housing units to low and moderate-income households, </w:t>
      </w:r>
      <w:r>
        <w:rPr>
          <w:u w:val="single"/>
        </w:rPr>
        <w:t xml:space="preserve">ensuring that the number of bedrooms for the designated affordable dwelling units is proportional to the number of bedrooms provided at the property as market rate units, and</w:t>
      </w:r>
      <w:r>
        <w:rPr/>
        <w:t xml:space="preserve"> the property must satisfy that commitment and any additional affordability and income eligibility conditions adopted by the local government under this chapter, and the </w:t>
      </w:r>
      <w:r>
        <w:t>((</w:t>
      </w:r>
      <w:r>
        <w:rPr>
          <w:strike/>
        </w:rPr>
        <w:t xml:space="preserve">area</w:t>
      </w:r>
      <w:r>
        <w:t>))</w:t>
      </w:r>
      <w:r>
        <w:rPr/>
        <w:t xml:space="preserve"> </w:t>
      </w:r>
      <w:r>
        <w:rPr>
          <w:u w:val="single"/>
        </w:rPr>
        <w:t xml:space="preserve">project</w:t>
      </w:r>
      <w:r>
        <w:rPr/>
        <w:t xml:space="preserve"> must </w:t>
      </w:r>
      <w:r>
        <w:t>((</w:t>
      </w:r>
      <w:r>
        <w:rPr>
          <w:strike/>
        </w:rPr>
        <w:t xml:space="preserve">be zoned to</w:t>
      </w:r>
      <w:r>
        <w:t>))</w:t>
      </w:r>
      <w:r>
        <w:rPr/>
        <w:t xml:space="preserve"> have an average minimum density equivalent to 15 dwelling units or more per </w:t>
      </w:r>
      <w:r>
        <w:t>((</w:t>
      </w:r>
      <w:r>
        <w:rPr>
          <w:strike/>
        </w:rPr>
        <w:t xml:space="preserve">gross</w:t>
      </w:r>
      <w:r>
        <w:t>))</w:t>
      </w:r>
      <w:r>
        <w:rPr/>
        <w:t xml:space="preserve"> </w:t>
      </w:r>
      <w:r>
        <w:rPr>
          <w:u w:val="single"/>
        </w:rPr>
        <w:t xml:space="preserve">net</w:t>
      </w:r>
      <w:r>
        <w:rPr/>
        <w:t xml:space="preserve"> acre, or for cities with a population over 20,000, the </w:t>
      </w:r>
      <w:r>
        <w:t>((</w:t>
      </w:r>
      <w:r>
        <w:rPr>
          <w:strike/>
        </w:rPr>
        <w:t xml:space="preserve">area</w:t>
      </w:r>
      <w:r>
        <w:t>))</w:t>
      </w:r>
      <w:r>
        <w:rPr/>
        <w:t xml:space="preserve"> </w:t>
      </w:r>
      <w:r>
        <w:rPr>
          <w:u w:val="single"/>
        </w:rPr>
        <w:t xml:space="preserve">project</w:t>
      </w:r>
      <w:r>
        <w:rPr/>
        <w:t xml:space="preserve"> must </w:t>
      </w:r>
      <w:r>
        <w:t>((</w:t>
      </w:r>
      <w:r>
        <w:rPr>
          <w:strike/>
        </w:rPr>
        <w:t xml:space="preserve">be zoned to</w:t>
      </w:r>
      <w:r>
        <w:t>))</w:t>
      </w:r>
      <w:r>
        <w:rPr/>
        <w:t xml:space="preserve"> have an average minimum density equivalent to 25 dwelling units or more per </w:t>
      </w:r>
      <w:r>
        <w:t>((</w:t>
      </w:r>
      <w:r>
        <w:rPr>
          <w:strike/>
        </w:rPr>
        <w:t xml:space="preserve">gross</w:t>
      </w:r>
      <w:r>
        <w:t>))</w:t>
      </w:r>
      <w:r>
        <w:rPr/>
        <w:t xml:space="preserve"> </w:t>
      </w:r>
      <w:r>
        <w:rPr>
          <w:u w:val="single"/>
        </w:rPr>
        <w:t xml:space="preserve">net</w:t>
      </w:r>
      <w:r>
        <w:rPr/>
        <w:t xml:space="preserve"> acre. In the case of projects intended exclusively for owner occupancy, the minimum requirement of this subsection (1)(a)</w:t>
      </w:r>
      <w:r>
        <w:t>((</w:t>
      </w:r>
      <w:r>
        <w:rPr>
          <w:strike/>
        </w:rPr>
        <w:t xml:space="preserve">(iii)</w:t>
      </w:r>
      <w:r>
        <w:t>))</w:t>
      </w:r>
      <w:r>
        <w:rPr/>
        <w:t xml:space="preserve"> </w:t>
      </w:r>
      <w:r>
        <w:rPr>
          <w:u w:val="single"/>
        </w:rPr>
        <w:t xml:space="preserve">(iv)</w:t>
      </w:r>
      <w:r>
        <w:rPr/>
        <w:t xml:space="preserve"> may be satisfied solely through housing affordable to low-income or moderate-income households.</w:t>
      </w:r>
    </w:p>
    <w:p>
      <w:pPr>
        <w:spacing w:before="0" w:after="0" w:line="408" w:lineRule="exact"/>
        <w:ind w:left="0" w:right="0" w:firstLine="576"/>
        <w:jc w:val="left"/>
      </w:pPr>
      <w:r>
        <w:rPr/>
        <w:t xml:space="preserve">(b)</w:t>
      </w:r>
      <w:r>
        <w:rPr>
          <w:u w:val="single"/>
        </w:rPr>
        <w:t xml:space="preserve">(i)</w:t>
      </w:r>
      <w:r>
        <w:rPr/>
        <w:t xml:space="preserve"> The exemptions provided in (a)(i) </w:t>
      </w:r>
      <w:r>
        <w:t>((</w:t>
      </w:r>
      <w:r>
        <w:rPr>
          <w:strike/>
        </w:rPr>
        <w:t xml:space="preserve">through (iii)</w:t>
      </w:r>
      <w:r>
        <w:t>))</w:t>
      </w:r>
      <w:r>
        <w:rPr/>
        <w:t xml:space="preserve"> of this subsection do not include the value of land or nonhousing-related improvements not qualifying under this chapter.</w:t>
      </w:r>
    </w:p>
    <w:p>
      <w:pPr>
        <w:spacing w:before="0" w:after="0" w:line="408" w:lineRule="exact"/>
        <w:ind w:left="0" w:right="0" w:firstLine="576"/>
        <w:jc w:val="left"/>
      </w:pPr>
      <w:r>
        <w:t>((</w:t>
      </w:r>
      <w:r>
        <w:rPr>
          <w:strike/>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r>
        <w:t>))</w:t>
      </w:r>
    </w:p>
    <w:p>
      <w:pPr>
        <w:spacing w:before="0" w:after="0" w:line="408" w:lineRule="exact"/>
        <w:ind w:left="0" w:right="0" w:firstLine="576"/>
        <w:jc w:val="left"/>
      </w:pPr>
      <w:r>
        <w:rPr>
          <w:u w:val="single"/>
        </w:rPr>
        <w:t xml:space="preserve">(ii) The exemptions provided in (a)(ii) and (iii) of this subsection include the value of the new housing constructed and that portion of the land value determined by multiplying the land value by the percentage of square footage of affordable housing constructed in comparison to the total square footage of housing for a qualifying project. The exemptions do not include the value of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w:t>
      </w:r>
      <w:r>
        <w:rPr>
          <w:u w:val="single"/>
        </w:rPr>
        <w:t xml:space="preserve">or conversion of nonresidential buildings to multiple-unit housing</w:t>
      </w:r>
      <w:r>
        <w:rPr/>
        <w:t xml:space="preserve">, the exemption does not include the value of improvements constructed prior to the submission of the application required under this chapter </w:t>
      </w:r>
      <w:r>
        <w:rPr>
          <w:u w:val="single"/>
        </w:rPr>
        <w:t xml:space="preserve">unless such improvements are integral to the use of the building for multiple-unit housing purposes</w:t>
      </w:r>
      <w:r>
        <w:rPr/>
        <w:t xml:space="preserve">.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properties that qualified for, satisfied the conditions of, and utilized the exemption under subsection (1)(a)</w:t>
      </w:r>
      <w:r>
        <w:t>((</w:t>
      </w:r>
      <w:r>
        <w:rPr>
          <w:strike/>
        </w:rPr>
        <w:t xml:space="preserve">(ii)(A) or (B)</w:t>
      </w:r>
      <w:r>
        <w:t>))</w:t>
      </w:r>
      <w:r>
        <w:rPr/>
        <w:t xml:space="preserve"> </w:t>
      </w:r>
      <w:r>
        <w:rPr>
          <w:u w:val="single"/>
        </w:rPr>
        <w:t xml:space="preserve">(i) or (ii)</w:t>
      </w:r>
      <w:r>
        <w:rPr/>
        <w:t xml:space="preserve"> of this section, following the initial exemption period </w:t>
      </w:r>
      <w:r>
        <w:t>((</w:t>
      </w:r>
      <w:r>
        <w:rPr>
          <w:strike/>
        </w:rPr>
        <w:t xml:space="preserve">or the extension period authorized in subsection (1)(c) of this section</w:t>
      </w:r>
      <w:r>
        <w:t>))</w:t>
      </w:r>
      <w:r>
        <w:rPr/>
        <w:t xml:space="preserve">,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w:t>
      </w:r>
      <w:r>
        <w:t>((</w:t>
      </w:r>
      <w:r>
        <w:rPr>
          <w:strike/>
        </w:rPr>
        <w:t xml:space="preserve">(ii)(B)</w:t>
      </w:r>
      <w:r>
        <w:t>))</w:t>
      </w:r>
      <w:r>
        <w:rPr/>
        <w:t xml:space="preserve"> </w:t>
      </w:r>
      <w:r>
        <w:rPr>
          <w:u w:val="single"/>
        </w:rPr>
        <w:t xml:space="preserve">(i) or (ii)</w:t>
      </w:r>
      <w:r>
        <w:rPr/>
        <w:t xml:space="preserve"> of this section as applicable at the time of the extension application, and the applicant commits to renting or selling at least 20 percent of the multifamily housing </w:t>
      </w:r>
      <w:r>
        <w:rPr>
          <w:u w:val="single"/>
        </w:rPr>
        <w:t xml:space="preserve">living</w:t>
      </w:r>
      <w:r>
        <w:rPr/>
        <w:t xml:space="preserve"> units </w:t>
      </w:r>
      <w:r>
        <w:rPr>
          <w:u w:val="single"/>
        </w:rPr>
        <w:t xml:space="preserve">net square footage</w:t>
      </w:r>
      <w:r>
        <w:rPr/>
        <w:t xml:space="preserve"> as affordable housing units for low-income households.</w:t>
      </w:r>
    </w:p>
    <w:p>
      <w:pPr>
        <w:spacing w:before="0" w:after="0" w:line="408" w:lineRule="exact"/>
        <w:ind w:left="0" w:right="0" w:firstLine="576"/>
        <w:jc w:val="left"/>
      </w:pPr>
      <w:r>
        <w:rPr/>
        <w:t xml:space="preserve">(7) At the end of both the </w:t>
      </w:r>
      <w:r>
        <w:t>((</w:t>
      </w:r>
      <w:r>
        <w:rPr>
          <w:strike/>
        </w:rPr>
        <w:t xml:space="preserve">tenth</w:t>
      </w:r>
      <w:r>
        <w:t>))</w:t>
      </w:r>
      <w:r>
        <w:rPr/>
        <w:t xml:space="preserve"> </w:t>
      </w:r>
      <w:r>
        <w:rPr>
          <w:u w:val="single"/>
        </w:rPr>
        <w:t xml:space="preserve">10th</w:t>
      </w:r>
      <w:r>
        <w:rPr/>
        <w:t xml:space="preserve"> and </w:t>
      </w:r>
      <w:r>
        <w:t>((</w:t>
      </w:r>
      <w:r>
        <w:rPr>
          <w:strike/>
        </w:rPr>
        <w:t xml:space="preserve">eleventh</w:t>
      </w:r>
      <w:r>
        <w:t>))</w:t>
      </w:r>
      <w:r>
        <w:rPr/>
        <w:t xml:space="preserve"> </w:t>
      </w:r>
      <w:r>
        <w:rPr>
          <w:u w:val="single"/>
        </w:rPr>
        <w:t xml:space="preserve">11th</w:t>
      </w:r>
      <w:r>
        <w:rPr/>
        <w:t xml:space="preserve"> years of an extension, for </w:t>
      </w:r>
      <w:r>
        <w:t>((</w:t>
      </w:r>
      <w:r>
        <w:rPr>
          <w:strike/>
        </w:rPr>
        <w:t xml:space="preserve">twelve</w:t>
      </w:r>
      <w:r>
        <w:t>))</w:t>
      </w:r>
      <w:r>
        <w:rPr/>
        <w:t xml:space="preserve"> </w:t>
      </w:r>
      <w:r>
        <w:rPr>
          <w:u w:val="single"/>
        </w:rPr>
        <w:t xml:space="preserve">12</w:t>
      </w:r>
      <w:r>
        <w:rPr/>
        <w:t xml:space="preser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t xml:space="preserve">(8)(a) Except as provided in (b) of this subsection, for any 12-year exemption authorized under subsection (1)(a)(ii)</w:t>
      </w:r>
      <w:r>
        <w:t>((</w:t>
      </w:r>
      <w:r>
        <w:rPr>
          <w:strike/>
        </w:rPr>
        <w:t xml:space="preserve">(B)</w:t>
      </w:r>
      <w:r>
        <w:t>))</w:t>
      </w:r>
      <w:r>
        <w:rPr/>
        <w:t xml:space="preserve"> or </w:t>
      </w:r>
      <w:r>
        <w:t>((</w:t>
      </w:r>
      <w:r>
        <w:rPr>
          <w:strike/>
        </w:rPr>
        <w:t xml:space="preserve">(iii)</w:t>
      </w:r>
      <w:r>
        <w:t>))</w:t>
      </w:r>
      <w:r>
        <w:rPr/>
        <w:t xml:space="preserve"> </w:t>
      </w:r>
      <w:r>
        <w:rPr>
          <w:u w:val="single"/>
        </w:rPr>
        <w:t xml:space="preserve">(iv)</w:t>
      </w:r>
      <w:r>
        <w:rPr/>
        <w:t xml:space="preserve"> of this section after July 25, 2021,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t xml:space="preserve">(b) If affordability requirements consistent, at a minimum, with those required under subsection (1)(a)(ii)</w:t>
      </w:r>
      <w:r>
        <w:t>((</w:t>
      </w:r>
      <w:r>
        <w:rPr>
          <w:strike/>
        </w:rPr>
        <w:t xml:space="preserve">(B)</w:t>
      </w:r>
      <w:r>
        <w:t>))</w:t>
      </w:r>
      <w:r>
        <w:rPr/>
        <w:t xml:space="preserve"> or </w:t>
      </w:r>
      <w:r>
        <w:t>((</w:t>
      </w:r>
      <w:r>
        <w:rPr>
          <w:strike/>
        </w:rPr>
        <w:t xml:space="preserve">(iii)</w:t>
      </w:r>
      <w:r>
        <w:t>))</w:t>
      </w:r>
      <w:r>
        <w:rPr/>
        <w:t xml:space="preserve"> </w:t>
      </w:r>
      <w:r>
        <w:rPr>
          <w:u w:val="single"/>
        </w:rPr>
        <w:t xml:space="preserve">(iv)</w:t>
      </w:r>
      <w:r>
        <w:rPr/>
        <w:t xml:space="preserve">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t xml:space="preserve">(9) </w:t>
      </w:r>
      <w:r>
        <w:rPr>
          <w:u w:val="single"/>
        </w:rPr>
        <w:t xml:space="preserve">Annual household incomes of tenants within income-restricted units may increase to up to 150 percent of the established unit income limit without eviction or penalty at lease renewal.</w:t>
      </w:r>
    </w:p>
    <w:p>
      <w:pPr>
        <w:spacing w:before="0" w:after="0" w:line="408" w:lineRule="exact"/>
        <w:ind w:left="0" w:right="0" w:firstLine="576"/>
        <w:jc w:val="left"/>
      </w:pPr>
      <w:r>
        <w:rPr>
          <w:u w:val="single"/>
        </w:rPr>
        <w:t xml:space="preserve">(10) To calculate square footage for living units in each project as required under this section, the following procedure must be applied:</w:t>
      </w:r>
    </w:p>
    <w:p>
      <w:pPr>
        <w:spacing w:before="0" w:after="0" w:line="408" w:lineRule="exact"/>
        <w:ind w:left="0" w:right="0" w:firstLine="576"/>
        <w:jc w:val="left"/>
      </w:pPr>
      <w:r>
        <w:rPr>
          <w:u w:val="single"/>
        </w:rPr>
        <w:t xml:space="preserve">(a) Each living unit must be measured to the inside finished surface of the exterior wall and to the inside surface of walls separating living units from other living units and common areas. These calculations are to establish the net living area of all units in a project qualifying under this chapter.</w:t>
      </w:r>
    </w:p>
    <w:p>
      <w:pPr>
        <w:spacing w:before="0" w:after="0" w:line="408" w:lineRule="exact"/>
        <w:ind w:left="0" w:right="0" w:firstLine="576"/>
        <w:jc w:val="left"/>
      </w:pPr>
      <w:r>
        <w:rPr>
          <w:u w:val="single"/>
        </w:rPr>
        <w:t xml:space="preserve">(b) Each individual unit's net square footage must then be calculated as a percentage of all living units' net square footage in the project.</w:t>
      </w:r>
    </w:p>
    <w:p>
      <w:pPr>
        <w:spacing w:before="0" w:after="0" w:line="408" w:lineRule="exact"/>
        <w:ind w:left="0" w:right="0" w:firstLine="576"/>
        <w:jc w:val="left"/>
      </w:pPr>
      <w:r>
        <w:rPr>
          <w:u w:val="single"/>
        </w:rPr>
        <w:t xml:space="preserve">(11) For the purpose of defining bedroom parity under subsection (1)(a)(ii), (iii), or (iv) of this section, market rate units with three or more bedrooms must be considered equivalent to three-bedroom affordable dwelling units.</w:t>
      </w:r>
    </w:p>
    <w:p>
      <w:pPr>
        <w:spacing w:before="0" w:after="0" w:line="408" w:lineRule="exact"/>
        <w:ind w:left="0" w:right="0" w:firstLine="576"/>
        <w:jc w:val="left"/>
      </w:pPr>
      <w:r>
        <w:rPr>
          <w:u w:val="single"/>
        </w:rPr>
        <w:t xml:space="preserve">(12)</w:t>
      </w:r>
      <w:r>
        <w:rPr/>
        <w:t xml:space="preserve">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021</w:t>
      </w:r>
      <w:r>
        <w:rPr/>
        <w:t xml:space="preserve"> and 2021 c 187 s 7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w:t>
      </w:r>
      <w:r>
        <w:t>((</w:t>
      </w:r>
      <w:r>
        <w:rPr>
          <w:strike/>
        </w:rPr>
        <w:t xml:space="preserve">for a city as defined in RCW 84.14.010(3)(d),</w:t>
      </w:r>
      <w:r>
        <w:t>))</w:t>
      </w:r>
      <w:r>
        <w:rPr/>
        <w:t xml:space="preserve">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w:t>
      </w:r>
      <w:r>
        <w:t>((</w:t>
      </w:r>
      <w:r>
        <w:rPr>
          <w:strike/>
        </w:rPr>
        <w:t xml:space="preserve">area</w:t>
      </w:r>
      <w:r>
        <w:t>))</w:t>
      </w:r>
      <w:r>
        <w:rPr/>
        <w:t xml:space="preserve"> </w:t>
      </w:r>
      <w:r>
        <w:rPr>
          <w:u w:val="single"/>
        </w:rPr>
        <w:t xml:space="preserve">project</w:t>
      </w:r>
      <w:r>
        <w:rPr/>
        <w:t xml:space="preserve"> must </w:t>
      </w:r>
      <w:r>
        <w:t>((</w:t>
      </w:r>
      <w:r>
        <w:rPr>
          <w:strike/>
        </w:rPr>
        <w:t xml:space="preserve">be zoned to</w:t>
      </w:r>
      <w:r>
        <w:t>))</w:t>
      </w:r>
      <w:r>
        <w:rPr/>
        <w:t xml:space="preserve"> have an average minimum density equivalent to 15 dwelling units or more per </w:t>
      </w:r>
      <w:r>
        <w:t>((</w:t>
      </w:r>
      <w:r>
        <w:rPr>
          <w:strike/>
        </w:rPr>
        <w:t xml:space="preserve">gross</w:t>
      </w:r>
      <w:r>
        <w:t>))</w:t>
      </w:r>
      <w:r>
        <w:rPr/>
        <w:t xml:space="preserve"> </w:t>
      </w:r>
      <w:r>
        <w:rPr>
          <w:u w:val="single"/>
        </w:rPr>
        <w:t xml:space="preserve">net</w:t>
      </w:r>
      <w:r>
        <w:rPr/>
        <w:t xml:space="preserve">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w:t>
      </w:r>
      <w:r>
        <w:t>((</w:t>
      </w:r>
      <w:r>
        <w:rPr>
          <w:strike/>
        </w:rPr>
        <w:t xml:space="preserve">average</w:t>
      </w:r>
      <w:r>
        <w:t>))</w:t>
      </w:r>
      <w:r>
        <w:rPr/>
        <w:t xml:space="preserve"> </w:t>
      </w:r>
      <w:r>
        <w:rPr>
          <w:u w:val="single"/>
        </w:rPr>
        <w:t xml:space="preserve">area</w:t>
      </w:r>
      <w:r>
        <w:rPr/>
        <w:t xml:space="preserv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w:t>
      </w:r>
      <w:r>
        <w:t>((</w:t>
      </w:r>
      <w:r>
        <w:rPr>
          <w:strike/>
        </w:rPr>
        <w:t xml:space="preserve">land or</w:t>
      </w:r>
      <w:r>
        <w:t>))</w:t>
      </w:r>
      <w:r>
        <w:rPr/>
        <w:t xml:space="preserve"> nonhousing-related improvements not qualifying under this chapter. </w:t>
      </w:r>
      <w:r>
        <w:rPr>
          <w:u w:val="single"/>
        </w:rPr>
        <w:t xml:space="preserve">The exemptions in this section include the value of the new housing constructed and that portion of the land value determined by multiplying the overall land value by the percentage of square footage of affordable housing constructed in comparison to the total square footage of housing for a qualifying project.</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2021 c 187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w:t>
      </w:r>
      <w:r>
        <w:t>((</w:t>
      </w:r>
      <w:r>
        <w:rPr>
          <w:strike/>
        </w:rPr>
        <w:t xml:space="preserve">or</w:t>
      </w:r>
      <w:r>
        <w:t>))</w:t>
      </w:r>
      <w:r>
        <w:rPr/>
        <w:t xml:space="preserve"> (ii) in a county </w:t>
      </w:r>
      <w:r>
        <w:t>((</w:t>
      </w:r>
      <w:r>
        <w:rPr>
          <w:strike/>
        </w:rPr>
        <w:t xml:space="preserve">that includes a campus of an institution of higher education, as defined in RCW 28B.92.030, where at least one thousand two hundred students live on campus during the academic year</w:t>
      </w:r>
      <w:r>
        <w:t>))</w:t>
      </w:r>
      <w:r>
        <w:rPr/>
        <w:t xml:space="preserve"> </w:t>
      </w:r>
      <w:r>
        <w:rPr>
          <w:u w:val="single"/>
        </w:rPr>
        <w:t xml:space="preserve">with a population greater than 275,000</w:t>
      </w:r>
      <w:r>
        <w:rPr/>
        <w:t xml:space="preserve">; </w:t>
      </w:r>
      <w:r>
        <w:t>((</w:t>
      </w:r>
      <w:r>
        <w:rPr>
          <w:strike/>
        </w:rPr>
        <w:t xml:space="preserve">and</w:t>
      </w:r>
      <w:r>
        <w:t>))</w:t>
      </w:r>
      <w:r>
        <w:rPr/>
        <w:t xml:space="preserve"> </w:t>
      </w:r>
      <w:r>
        <w:rPr>
          <w:u w:val="single"/>
        </w:rPr>
        <w:t xml:space="preserve">or</w:t>
      </w:r>
      <w:r>
        <w:rPr/>
        <w:t xml:space="preserve"> (iii) until July 15, </w:t>
      </w:r>
      <w:r>
        <w:t>((</w:t>
      </w:r>
      <w:r>
        <w:rPr>
          <w:strike/>
        </w:rPr>
        <w:t xml:space="preserve">2024</w:t>
      </w:r>
      <w:r>
        <w:t>))</w:t>
      </w:r>
      <w:r>
        <w:rPr/>
        <w:t xml:space="preserve"> </w:t>
      </w:r>
      <w:r>
        <w:rPr>
          <w:u w:val="single"/>
        </w:rPr>
        <w:t xml:space="preserve">2026</w:t>
      </w:r>
      <w:r>
        <w:rPr/>
        <w:t xml:space="preserve">, in a county seeking to promote transit supportive densities and efficient land use in an area that is located within a designated urban growth area and within .25 miles of a corridor where bus service is scheduled at least every thirty minutes for no less than 10 hours per weekday and is in service or is planned for service to begin within five years of designation; and</w:t>
      </w:r>
    </w:p>
    <w:p>
      <w:pPr>
        <w:spacing w:before="0" w:after="0" w:line="408" w:lineRule="exact"/>
        <w:ind w:left="0" w:right="0" w:firstLine="576"/>
        <w:jc w:val="left"/>
      </w:pPr>
      <w:r>
        <w:rPr/>
        <w:t xml:space="preserve">(e) For a residential targeted area designated by a county after July 25, 2021, the county governing authority must conduct an evaluation of the risk of potential displacement of residents currently living in the area if the tax incentives authorized in this chapter were to be used in the area. The county may use an existing analysis if one exists. An area may not be designated as a residential targeted area unless: (i) The evaluation finds that the risk of displacement is minimal; or (ii) the governing authority mitigates the risk of displacement with locally adopted mitigation measures such as, but not limited to, ensuring that those directly or indirectly displaced have a first right of refusal to occupy the newly created dwelling units receiving an exemption under this chapter, including the affordable units if they otherwise meet the qualifications.</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 </w:t>
      </w:r>
      <w:r>
        <w:rPr>
          <w:u w:val="single"/>
        </w:rPr>
        <w:t xml:space="preserve">The notice must be sent to the affected taxing district.</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Income and rent standards for affordable units;</w:t>
      </w:r>
    </w:p>
    <w:p>
      <w:pPr>
        <w:spacing w:before="0" w:after="0" w:line="408" w:lineRule="exact"/>
        <w:ind w:left="0" w:right="0" w:firstLine="576"/>
        <w:jc w:val="left"/>
      </w:pPr>
      <w:r>
        <w:rPr/>
        <w:t xml:space="preserve">(c) Requirements that address demolition of existing structures and site utilization; and</w:t>
      </w:r>
    </w:p>
    <w:p>
      <w:pPr>
        <w:spacing w:before="0" w:after="0" w:line="408" w:lineRule="exact"/>
        <w:ind w:left="0" w:right="0" w:firstLine="576"/>
        <w:jc w:val="left"/>
      </w:pPr>
      <w:r>
        <w:rPr/>
        <w:t xml:space="preserve">(d)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(6)(a) The governing authority may adopt and implement, either as conditions to eight</w:t>
      </w:r>
      <w:r>
        <w:rPr/>
        <w:noBreakHyphen/>
      </w:r>
      <w:r>
        <w:rPr/>
        <w:t xml:space="preserve">year exemptions or as conditions to an extended exemption period under RCW 84.14.020(1)(a) (ii) </w:t>
      </w:r>
      <w:r>
        <w:t>((</w:t>
      </w:r>
      <w:r>
        <w:rPr>
          <w:strike/>
        </w:rPr>
        <w:t xml:space="preserve">(B)</w:t>
      </w:r>
      <w:r>
        <w:t>))</w:t>
      </w:r>
      <w:r>
        <w:rPr/>
        <w:t xml:space="preserve"> or </w:t>
      </w:r>
      <w:r>
        <w:t>((</w:t>
      </w:r>
      <w:r>
        <w:rPr>
          <w:strike/>
        </w:rPr>
        <w:t xml:space="preserve">(C)</w:t>
      </w:r>
      <w:r>
        <w:t>))</w:t>
      </w:r>
      <w:r>
        <w:rPr/>
        <w:t xml:space="preserve"> </w:t>
      </w:r>
      <w:r>
        <w:rPr>
          <w:u w:val="single"/>
        </w:rPr>
        <w:t xml:space="preserve">(iii)</w:t>
      </w:r>
      <w:r>
        <w:rPr/>
        <w:t xml:space="preserve">, or as conditions to any combination of exemptions authorized under this chapter, more stringent income eligibility, rent, or sale price limits, including limits that apply to a higher percentage of units, than the minimum conditions for an extended exemption period under RCW 84.14.020(1)(a) (ii) </w:t>
      </w:r>
      <w:r>
        <w:t>((</w:t>
      </w:r>
      <w:r>
        <w:rPr>
          <w:strike/>
        </w:rPr>
        <w:t xml:space="preserve">(B)</w:t>
      </w:r>
      <w:r>
        <w:t>))</w:t>
      </w:r>
      <w:r>
        <w:rPr/>
        <w:t xml:space="preserve"> or </w:t>
      </w:r>
      <w:r>
        <w:t>((</w:t>
      </w:r>
      <w:r>
        <w:rPr>
          <w:strike/>
        </w:rPr>
        <w:t xml:space="preserve">(C)</w:t>
      </w:r>
      <w:r>
        <w:t>))</w:t>
      </w:r>
      <w:r>
        <w:rPr/>
        <w:t xml:space="preserve"> </w:t>
      </w:r>
      <w:r>
        <w:rPr>
          <w:u w:val="single"/>
        </w:rPr>
        <w:t xml:space="preserve">(iii)</w:t>
      </w:r>
      <w:r>
        <w:rPr/>
        <w:t xml:space="preserve">.</w:t>
      </w:r>
    </w:p>
    <w:p>
      <w:pPr>
        <w:spacing w:before="0" w:after="0" w:line="408" w:lineRule="exact"/>
        <w:ind w:left="0" w:right="0" w:firstLine="576"/>
        <w:jc w:val="left"/>
      </w:pPr>
      <w:r>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t xml:space="preserve">(ii) Payroll record requirements consistent with RCW 39.12.120(1);</w:t>
      </w:r>
    </w:p>
    <w:p>
      <w:pPr>
        <w:spacing w:before="0" w:after="0" w:line="408" w:lineRule="exact"/>
        <w:ind w:left="0" w:right="0" w:firstLine="576"/>
        <w:jc w:val="left"/>
      </w:pPr>
      <w:r>
        <w:rPr/>
        <w:t xml:space="preserve">(iii) Apprenticeship utilization requirements consistent with RCW 39.04.310; and</w:t>
      </w:r>
    </w:p>
    <w:p>
      <w:pPr>
        <w:spacing w:before="0" w:after="0" w:line="408" w:lineRule="exact"/>
        <w:ind w:left="0" w:right="0" w:firstLine="576"/>
        <w:jc w:val="left"/>
      </w:pPr>
      <w:r>
        <w:rPr/>
        <w:t xml:space="preserve">(iv) A contracting inclusion plan developed in consultation with the office of minority and women's business enterprises.</w:t>
      </w:r>
    </w:p>
    <w:p>
      <w:pPr>
        <w:spacing w:before="0" w:after="0" w:line="408" w:lineRule="exact"/>
        <w:ind w:left="0" w:right="0" w:firstLine="576"/>
        <w:jc w:val="left"/>
      </w:pPr>
      <w:r>
        <w:rPr/>
        <w:t xml:space="preserve">(7) </w:t>
      </w:r>
      <w:r>
        <w:t>((</w:t>
      </w:r>
      <w:r>
        <w:rPr>
          <w:strike/>
        </w:rPr>
        <w:t xml:space="preserve">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(7) may be satisfied solely through housing affordable to moderate-income households.</w:t>
      </w:r>
    </w:p>
    <w:p>
      <w:pPr>
        <w:spacing w:before="0" w:after="0" w:line="408" w:lineRule="exact"/>
        <w:ind w:left="0" w:right="0" w:firstLine="576"/>
        <w:jc w:val="left"/>
      </w:pPr>
      <w:r>
        <w:rPr>
          <w:strike/>
        </w:rPr>
        <w:t xml:space="preserve">(8)</w:t>
      </w:r>
      <w:r>
        <w:t>))</w:t>
      </w:r>
      <w:r>
        <w:rPr/>
        <w:t xml:space="preserve"> Nothing in this section prevents a governing authority from adopting and implementing additional requirements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070</w:t>
      </w:r>
      <w:r>
        <w:rPr/>
        <w:t xml:space="preserve"> and 2012 c 194 s 7 are each amended to read as follows:</w:t>
      </w:r>
    </w:p>
    <w:p>
      <w:pPr>
        <w:spacing w:before="0" w:after="0" w:line="408" w:lineRule="exact"/>
        <w:ind w:left="0" w:right="0" w:firstLine="576"/>
        <w:jc w:val="left"/>
      </w:pP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or county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RCW 84.14.060. </w:t>
      </w:r>
      <w:r>
        <w:rPr>
          <w:u w:val="single"/>
        </w:rPr>
        <w:t xml:space="preserve">This certificate must be sent to the county assessor upon issuance.</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2021 c 187 s 5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or the qualified nonprofit or local government that will assure permanent affordable homeownership for at least 25 percent of the units for properties receiving an exemption under RCW 84.14.021,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April 1st of each year, beginning in 2007, to the department of commerce. A city or county must be in compliance with the reporting requirements of this section to offer certificates of tax exemption for multiunit housing authorized in this chapter.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size,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annual household income and household size for each of the affordable units receiving a tax exemption and a summary of these figures for the city or county; </w:t>
      </w:r>
      <w:r>
        <w:t>((</w:t>
      </w:r>
      <w:r>
        <w:rPr>
          <w:strike/>
        </w:rPr>
        <w:t xml:space="preserve">and</w:t>
      </w:r>
      <w:r>
        <w:t>))</w:t>
      </w:r>
    </w:p>
    <w:p>
      <w:pPr>
        <w:spacing w:before="0" w:after="0" w:line="408" w:lineRule="exact"/>
        <w:ind w:left="0" w:right="0" w:firstLine="576"/>
        <w:jc w:val="left"/>
      </w:pPr>
      <w:r>
        <w:rPr/>
        <w:t xml:space="preserve">(g) The value of the tax exemption for each project receiving a tax exemption and the total value of tax exemptions granted</w:t>
      </w:r>
      <w:r>
        <w:rPr>
          <w:u w:val="single"/>
        </w:rPr>
        <w:t xml:space="preserve">; and</w:t>
      </w:r>
    </w:p>
    <w:p>
      <w:pPr>
        <w:spacing w:before="0" w:after="0" w:line="408" w:lineRule="exact"/>
        <w:ind w:left="0" w:right="0" w:firstLine="576"/>
        <w:jc w:val="left"/>
      </w:pPr>
      <w:r>
        <w:rPr>
          <w:u w:val="single"/>
        </w:rPr>
        <w:t xml:space="preserve">(h) Contracts executed, amended, or extended under RCW 84.14.030(6) during the previous year</w:t>
      </w:r>
      <w:r>
        <w:rPr/>
        <w:t xml:space="preserve">.</w:t>
      </w:r>
    </w:p>
    <w:p>
      <w:pPr>
        <w:spacing w:before="0" w:after="0" w:line="408" w:lineRule="exact"/>
        <w:ind w:left="0" w:right="0" w:firstLine="576"/>
        <w:jc w:val="left"/>
      </w:pPr>
      <w:r>
        <w:rPr/>
        <w:t xml:space="preserve">(3)(a) The department of commerce must adopt and implement a program to effectively audit or review that the owner or operator of each property for which a certificate of tax exemption has been issued, except for those properties receiving an exemption that are owned or operated by a nonprofit or for those properties receiving an exemption from a city or county that operates an independent audit or review program, is offering the number of units at rents as committed to in the approved application for an exemption and that the tenants are being properly screened to be qualified for an income-restricted unit. The audit or review program must be adopted in consultation with local governments and other stakeholders and may be based on auditing a percentage of income-restricted units or properties annually. A private owner or operator of a property for which a certificate of tax exemption has been issued under this chapter, must be audited at least once every five years.</w:t>
      </w:r>
    </w:p>
    <w:p>
      <w:pPr>
        <w:spacing w:before="0" w:after="0" w:line="408" w:lineRule="exact"/>
        <w:ind w:left="0" w:right="0" w:firstLine="576"/>
        <w:jc w:val="left"/>
      </w:pPr>
      <w:r>
        <w:rPr/>
        <w:t xml:space="preserve">(b) If the review or audit required under (a) of this subsection for a given property finds that the owner or operator is not offering the number of units at rents as committed to in the approved application or is not properly screening tenants for income-restricted units, the department of commerce must notify the city or county and the city or county must impose and collect a sliding scale penalty not to exceed an amount calculated by subtracting the amount of rents that would have been collected had the owner or operator complied with their commitment from the amount of rents collected by the owner or operator for the income-restricted units, with consideration of the severity of the noncompliance. If a subsequent review or audit required under (a) of this subsection for a given property finds continued substantial noncompliance with the program requirements, the exemption certificate must be canceled pursuant to RCW 84.14.110.</w:t>
      </w:r>
    </w:p>
    <w:p>
      <w:pPr>
        <w:spacing w:before="0" w:after="0" w:line="408" w:lineRule="exact"/>
        <w:ind w:left="0" w:right="0" w:firstLine="576"/>
        <w:jc w:val="left"/>
      </w:pPr>
      <w:r>
        <w:rPr/>
        <w:t xml:space="preserve">(c) The department of commerce may impose and collect a fee, not to exceed the costs of the audit or review, from the owner or operator of any property subject to an audit or review required under (a) of this subsection.</w:t>
      </w:r>
    </w:p>
    <w:p>
      <w:pPr>
        <w:spacing w:before="0" w:after="0" w:line="408" w:lineRule="exact"/>
        <w:ind w:left="0" w:right="0" w:firstLine="576"/>
        <w:jc w:val="left"/>
      </w:pPr>
      <w:r>
        <w:rPr>
          <w:u w:val="single"/>
        </w:rPr>
        <w:t xml:space="preserve">(d) The department of commerce may develop rules necessary for the implementation of this section.</w:t>
      </w:r>
    </w:p>
    <w:p>
      <w:pPr>
        <w:spacing w:before="0" w:after="0" w:line="408" w:lineRule="exact"/>
        <w:ind w:left="0" w:right="0" w:firstLine="576"/>
        <w:jc w:val="left"/>
      </w:pPr>
      <w:r>
        <w:rPr/>
        <w:t xml:space="preserve">(4) The department of commerce must provide guidance to cities and counties, which issue certificates of tax exemption for multiunit housing that conform to the requirements of this chapter, on best practices in managing and reporting for the exemption programs authorized under this chapter, including guidance for cities and counties to collect and report demographic information for tenants of units receiving a tax exemption under this chapter.</w:t>
      </w:r>
    </w:p>
    <w:p>
      <w:pPr>
        <w:spacing w:before="0" w:after="0" w:line="408" w:lineRule="exact"/>
        <w:ind w:left="0" w:right="0" w:firstLine="576"/>
        <w:jc w:val="left"/>
      </w:pPr>
      <w:r>
        <w:rPr/>
        <w:t xml:space="preserve">(5) This section expires January 1, 2058.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110</w:t>
      </w:r>
      <w:r>
        <w:rPr/>
        <w:t xml:space="preserve"> and 2012 c 194 s 10 are each amended to read as follows:</w:t>
      </w:r>
    </w:p>
    <w:p>
      <w:pPr>
        <w:spacing w:before="0" w:after="0" w:line="408" w:lineRule="exact"/>
        <w:ind w:left="0" w:right="0" w:firstLine="576"/>
        <w:jc w:val="left"/>
      </w:pPr>
      <w:r>
        <w:rPr/>
        <w:t xml:space="preserve">(1) If improvements have been exempted under this chapter, the improvements continue to be exempted for the applicable period under RCW 84.14.020, so long as they are not converted to another use and continue to satisfy all applicable conditions. If the owner intends to convert the multifamily development to another use, or if applicable, if the owner intends to discontinue compliance with the affordable housing requirements as described in RCW 84.14.020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a portion of the property is changed or will be changed to a use that is other than residential or that housing or amenities no longer meet the requirements, including, if applicable, affordable housing requirements, as previously approved or agreed upon by contract between the city or county and the owner and that the multifamily housing, or a portion of the housing,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nonmultifamily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w:t>
      </w:r>
      <w:r>
        <w:t>((</w:t>
      </w:r>
      <w:r>
        <w:rPr>
          <w:strike/>
        </w:rPr>
        <w:t xml:space="preserve">and</w:t>
      </w:r>
      <w:r>
        <w:t>))</w:t>
      </w:r>
    </w:p>
    <w:p>
      <w:pPr>
        <w:spacing w:before="0" w:after="0" w:line="408" w:lineRule="exact"/>
        <w:ind w:left="0" w:right="0" w:firstLine="576"/>
        <w:jc w:val="left"/>
      </w:pPr>
      <w:r>
        <w:rPr/>
        <w:t xml:space="preserve">(c) The additional tax owed together with interest and penalty must become a lien on the land and attach at the time the property or portion of the property is removed from multifamily use or the amenities no longer meet applicable requirements,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r>
        <w:rPr>
          <w:u w:val="single"/>
        </w:rPr>
        <w:t xml:space="preserve">; and</w:t>
      </w:r>
    </w:p>
    <w:p>
      <w:pPr>
        <w:spacing w:before="0" w:after="0" w:line="408" w:lineRule="exact"/>
        <w:ind w:left="0" w:right="0" w:firstLine="576"/>
        <w:jc w:val="left"/>
      </w:pPr>
      <w:r>
        <w:rPr>
          <w:u w:val="single"/>
        </w:rPr>
        <w:t xml:space="preserve">(d) If the owner of an income-restricted unit intended solely for owner occupancy sells that unit at market rate and a penalty applies, the city or county may assign the highest penalty to the owner who caused the project to be out of compliance and assign a lesser or no penalty to the other owners</w:t>
      </w:r>
      <w:r>
        <w:rPr/>
        <w:t xml:space="preserve">.</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housing construction, conversion,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939a69384921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08f060fb04326" /><Relationship Type="http://schemas.openxmlformats.org/officeDocument/2006/relationships/footer" Target="/word/footer1.xml" Id="R939a693849214c6f" /></Relationships>
</file>