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9fd90a50d04da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Liias, Rivers, Dhingra, Kauffman, Nobles, Trudeau, Valdez, C. Wilson, and J. Wilson; by request of Department of Health)</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account for the pharmaceutical rebate revenue generated by the purchase of medications for people living with HIV who are enrolled in the early intervention program; reenacting and amending RCW 43.79A.040; adding a new section to chapter 43.70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medication for people living with HIV rebate revenue account is created in the custody of the state treasury. The early intervention program shall deposit any receipts from pharmaceutical rebates generated by the purchase of medications with federal grant funds and revenue generated from federal grant funds for any person enrolled in the early intervention program into the account. The expenditures may only be used for services defined in the grant award from the Ryan White HIV/AIDS program. Only the secretary or the secretary's designee may authorize expenditures from the account. An appropriation is not required for expenditures.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w:t>
      </w:r>
      <w:r>
        <w:rPr>
          <w:u w:val="single"/>
        </w:rPr>
        <w:t xml:space="preserve">the medication for people living with HIV rebate revenue account,</w:t>
      </w:r>
      <w:r>
        <w:rPr/>
        <w:t xml:space="preserve">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53a33b82f6c84d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1efb72f4d444d7" /><Relationship Type="http://schemas.openxmlformats.org/officeDocument/2006/relationships/footer" Target="/word/footer1.xml" Id="R53a33b82f6c84dbc" /></Relationships>
</file>