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b01f99ebe43e4" /></Relationships>
</file>

<file path=word/document.xml><?xml version="1.0" encoding="utf-8"?>
<w:document xmlns:w="http://schemas.openxmlformats.org/wordprocessingml/2006/main">
  <w:body>
    <w:p>
      <w:r>
        <w:t>S-1477.1</w:t>
      </w:r>
    </w:p>
    <w:p>
      <w:pPr>
        <w:jc w:val="center"/>
      </w:pPr>
      <w:r>
        <w:t>_______________________________________________</w:t>
      </w:r>
    </w:p>
    <w:p/>
    <w:p>
      <w:pPr>
        <w:jc w:val="center"/>
      </w:pPr>
      <w:r>
        <w:rPr>
          <w:b/>
        </w:rPr>
        <w:t>SUBSTITUTE SENATE BILL 5186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Liias, Billig, Dhingra, Hunt, Keiser, Lovick, Nguyen, Nobles,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antidiscrimination clauses in public contracting; amending RCW 39.26.245 and 39.04.160;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After January 1, 2024, any contractor or prospective contractor, including subcontractors, with the state for public works or for goods or services is subject to the provisions of this chapter relating to discrimination in employment and to the nondiscrimination requirements of this chapter and any rules and regulations to implement it.</w:t>
      </w:r>
    </w:p>
    <w:p>
      <w:pPr>
        <w:spacing w:before="0" w:after="0" w:line="408" w:lineRule="exact"/>
        <w:ind w:left="0" w:right="0" w:firstLine="576"/>
        <w:jc w:val="left"/>
      </w:pPr>
      <w:r>
        <w:rPr/>
        <w:t xml:space="preserve">(b) Contractors currently contracted with the state as of January 1, 2024, who are subject to (a) of this subsection and who were previously excluded from this chapter, are not liable under this chapter for actions occurring prior to January 1, 2024. However, this subsection (1)(b) does not exclude actions commencing prior to January 1, 2024, that continue on or after January 1, 2024.</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RCW 49.60.180.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department of enterprise services, in collaboration with the office of minority and women's business enterprises, office of equity, and the commission, must develop a standard template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p>
    <w:p/>
    <w:p>
      <w:pPr>
        <w:jc w:val="center"/>
      </w:pPr>
      <w:r>
        <w:rPr>
          <w:b/>
        </w:rPr>
        <w:t>--- END ---</w:t>
      </w:r>
    </w:p>
    <w:sectPr>
      <w:pgNumType w:start="1"/>
      <w:footerReference xmlns:r="http://schemas.openxmlformats.org/officeDocument/2006/relationships" r:id="Re0e4a65fd9d148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a21785aae4a77" /><Relationship Type="http://schemas.openxmlformats.org/officeDocument/2006/relationships/footer" Target="/word/footer1.xml" Id="Re0e4a65fd9d148df" /></Relationships>
</file>