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191872ee2b4be0" /></Relationships>
</file>

<file path=word/document.xml><?xml version="1.0" encoding="utf-8"?>
<w:document xmlns:w="http://schemas.openxmlformats.org/wordprocessingml/2006/main">
  <w:body>
    <w:p>
      <w:r>
        <w:t>Z-0258.2</w:t>
      </w:r>
    </w:p>
    <w:p>
      <w:pPr>
        <w:jc w:val="center"/>
      </w:pPr>
      <w:r>
        <w:t>_______________________________________________</w:t>
      </w:r>
    </w:p>
    <w:p/>
    <w:p>
      <w:pPr>
        <w:jc w:val="center"/>
      </w:pPr>
      <w:r>
        <w:rPr>
          <w:b/>
        </w:rPr>
        <w:t>SENATE BILL 5193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Valdez, Cleveland, Hunt, Liias, Nguyen, Nobles, Pedersen, Robinson, Saldaña, Salomon, Stanford, Wellman, and C. Wilson; by request of Attorney General and Office of the Governor</w:t>
      </w:r>
    </w:p>
    <w:p/>
    <w:p>
      <w:r>
        <w:rPr>
          <w:t xml:space="preserve">Prefiled 01/06/23.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importation, distribution, selling, and offering for sale of assault weapons, and by providing limited exemptions applicable to licensed firearm manufacturers and dealers for purposes of sale to armed forces branches and law enforcement agencies for purposes of sale or transfer outside the state; reenacting and amending RCW 9.41.010; adding new sections to chapter 9.41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 state or federal law enforcement agency for use by that agency or its employees for law enforcement purposes;</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 or</w:t>
      </w:r>
    </w:p>
    <w:p>
      <w:pPr>
        <w:spacing w:before="0" w:after="0" w:line="408" w:lineRule="exact"/>
        <w:ind w:left="0" w:right="0" w:firstLine="576"/>
        <w:jc w:val="left"/>
      </w:pPr>
      <w:r>
        <w:rPr/>
        <w:t xml:space="preserve">(d)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(2)(d) is not "distribution" under this chapter. A person who legally receives an assault weapon under this subsection (2)(d) may not sell or transfer the assault weapon to any other person in this state other than to a licensed dealer, to a federally licensed gunsmith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(3)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1ce8b4bc1514d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1b4a927ea64a3d" /><Relationship Type="http://schemas.openxmlformats.org/officeDocument/2006/relationships/footer" Target="/word/footer1.xml" Id="R81ce8b4bc1514ddb" /></Relationships>
</file>