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2badf8b1d4e5a" /></Relationships>
</file>

<file path=word/document.xml><?xml version="1.0" encoding="utf-8"?>
<w:document xmlns:w="http://schemas.openxmlformats.org/wordprocessingml/2006/main">
  <w:body>
    <w:p>
      <w:r>
        <w:t>Z-0170.2</w:t>
      </w:r>
    </w:p>
    <w:p>
      <w:pPr>
        <w:jc w:val="center"/>
      </w:pPr>
      <w:r>
        <w:t>_______________________________________________</w:t>
      </w:r>
    </w:p>
    <w:p/>
    <w:p>
      <w:pPr>
        <w:jc w:val="center"/>
      </w:pPr>
      <w:r>
        <w:rPr>
          <w:b/>
        </w:rPr>
        <w:t>SENATE BILL 5199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Conway, Dozier, Holy, Keiser, Lovelett, Nguyen, Shewmake, and Valdez; by request of Attorney General</w:t>
      </w:r>
    </w:p>
    <w:p/>
    <w:p>
      <w:r>
        <w:rPr>
          <w:t xml:space="preserve">Prefiled 01/06/23.</w:t>
        </w:rPr>
      </w:r>
      <w:r>
        <w:rPr>
          <w:t xml:space="preserve">Read first time 01/09/23.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newspaper publishers; amending RCW 82.04.260, 35.102.150, 82.04.460, and 82.08.806;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 Studies have revealed a correlation between the loss of local journalism and higher taxes.</w:t>
      </w:r>
    </w:p>
    <w:p>
      <w:pPr>
        <w:spacing w:before="0" w:after="0" w:line="408" w:lineRule="exact"/>
        <w:ind w:left="0" w:right="0" w:firstLine="576"/>
        <w:jc w:val="left"/>
      </w:pPr>
      <w:r>
        <w:rPr/>
        <w:t xml:space="preserve">The legislature finds that community-focused online digital publishers provide a vital service to geographically remote and ethnically diverse communities by producing timely, community-focused information in an accessible format. Furthermore, local print and digital news sources are often the most accurate and accessible sources of news and community discourse.</w:t>
      </w:r>
    </w:p>
    <w:p>
      <w:pPr>
        <w:spacing w:before="0" w:after="0" w:line="408" w:lineRule="exact"/>
        <w:ind w:left="0" w:right="0" w:firstLine="576"/>
        <w:jc w:val="left"/>
      </w:pPr>
      <w:r>
        <w:rPr/>
        <w:t xml:space="preserve">Without legislative action, the current business and occupation tax preference for newspaper publishers will expire on July 1, 2024. By increasing this tax benefit and expanding eligibility to online publishers, the legislature intends to protect local newspapers and the multitude of benefits their services provide to enrich civic life, ensure accountability, and protect our state's democratic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taxes imposed under this chapter, a person may deduct from the measure of tax amounts received for engaging in any of the following activities:</w:t>
      </w:r>
    </w:p>
    <w:p>
      <w:pPr>
        <w:spacing w:before="0" w:after="0" w:line="408" w:lineRule="exact"/>
        <w:ind w:left="0" w:right="0" w:firstLine="576"/>
        <w:jc w:val="left"/>
      </w:pPr>
      <w:r>
        <w:rPr/>
        <w:t xml:space="preserve">(a) Printing a newspaper, publishing a newspaper, or both; and</w:t>
      </w:r>
    </w:p>
    <w:p>
      <w:pPr>
        <w:spacing w:before="0" w:after="0" w:line="408" w:lineRule="exact"/>
        <w:ind w:left="0" w:right="0" w:firstLine="576"/>
        <w:jc w:val="left"/>
      </w:pPr>
      <w:r>
        <w:rPr/>
        <w:t xml:space="preserve">(b) Publishing eligible digital content, but only if the person's primary business activity is creating and publishing eligible digital content.</w:t>
      </w:r>
    </w:p>
    <w:p>
      <w:pPr>
        <w:spacing w:before="0" w:after="0" w:line="408" w:lineRule="exact"/>
        <w:ind w:left="0" w:right="0" w:firstLine="576"/>
        <w:jc w:val="left"/>
      </w:pPr>
      <w:r>
        <w:rPr/>
        <w:t xml:space="preserve">(2) In cases where a publisher charges a single, nonvariable amount to advertise in, subscribe to, or access content in both a publication identified in subsection (1) of this section and another type of publication, the entire amount of such charge is deductible under this section.</w:t>
      </w:r>
    </w:p>
    <w:p>
      <w:pPr>
        <w:spacing w:before="0" w:after="0" w:line="408" w:lineRule="exact"/>
        <w:ind w:left="0" w:right="0" w:firstLine="576"/>
        <w:jc w:val="left"/>
      </w:pPr>
      <w:r>
        <w:rPr/>
        <w:t xml:space="preserve">(3) A person claiming a deduction under this section must include the deductible amount in its gross income reported on its excise tax return.</w:t>
      </w:r>
    </w:p>
    <w:p>
      <w:pPr>
        <w:spacing w:before="0" w:after="0" w:line="408" w:lineRule="exact"/>
        <w:ind w:left="0" w:right="0" w:firstLine="576"/>
        <w:jc w:val="left"/>
      </w:pPr>
      <w:r>
        <w:rPr/>
        <w:t xml:space="preserve">(4)(a) For purposes of this section, "eligible digital content" means a publication that:</w:t>
      </w:r>
    </w:p>
    <w:p>
      <w:pPr>
        <w:spacing w:before="0" w:after="0" w:line="408" w:lineRule="exact"/>
        <w:ind w:left="0" w:right="0" w:firstLine="576"/>
        <w:jc w:val="left"/>
      </w:pPr>
      <w:r>
        <w:rPr/>
        <w:t xml:space="preserve">(i) Is published at regularly stated intervals at least once every three months;</w:t>
      </w:r>
    </w:p>
    <w:p>
      <w:pPr>
        <w:spacing w:before="0" w:after="0" w:line="408" w:lineRule="exact"/>
        <w:ind w:left="0" w:right="0" w:firstLine="576"/>
        <w:jc w:val="left"/>
      </w:pPr>
      <w:r>
        <w:rPr/>
        <w:t xml:space="preserve">(ii) Has at least two but no more than 50 employees, at least one of whom creates content for the publication;</w:t>
      </w:r>
    </w:p>
    <w:p>
      <w:pPr>
        <w:spacing w:before="0" w:after="0" w:line="408" w:lineRule="exact"/>
        <w:ind w:left="0" w:right="0" w:firstLine="576"/>
        <w:jc w:val="left"/>
      </w:pPr>
      <w:r>
        <w:rPr/>
        <w:t xml:space="preserve">(iii) Primarily features written content, the largest category of which contains material that identifies the author or the original source of the material; and</w:t>
      </w:r>
    </w:p>
    <w:p>
      <w:pPr>
        <w:spacing w:before="0" w:after="0" w:line="408" w:lineRule="exact"/>
        <w:ind w:left="0" w:right="0" w:firstLine="576"/>
        <w:jc w:val="left"/>
      </w:pPr>
      <w:r>
        <w:rPr/>
        <w:t xml:space="preserve">(iv) Is made available to readers primarily or exclusively in an electronic format.</w:t>
      </w:r>
    </w:p>
    <w:p>
      <w:pPr>
        <w:spacing w:before="0" w:after="0" w:line="408" w:lineRule="exact"/>
        <w:ind w:left="0" w:right="0" w:firstLine="576"/>
        <w:jc w:val="left"/>
      </w:pPr>
      <w:r>
        <w:rPr/>
        <w:t xml:space="preserve">(b) "Eligible digital content" does not include digital content created by a radio or television broadcaster as defined in RCW 82.08.0208.</w:t>
      </w:r>
    </w:p>
    <w:p>
      <w:pPr>
        <w:spacing w:before="0" w:after="0" w:line="408" w:lineRule="exact"/>
        <w:ind w:left="0" w:right="0" w:firstLine="576"/>
        <w:jc w:val="left"/>
      </w:pPr>
      <w:r>
        <w:rPr/>
        <w:t xml:space="preserve">(5) This section expires January 1,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deduction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deductible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to claim the deduction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c8648f88dc14f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6c4f860474419" /><Relationship Type="http://schemas.openxmlformats.org/officeDocument/2006/relationships/footer" Target="/word/footer1.xml" Id="R8c8648f88dc14fd6" /></Relationships>
</file>