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f1336bfbc4fb2" /></Relationships>
</file>

<file path=word/document.xml><?xml version="1.0" encoding="utf-8"?>
<w:document xmlns:w="http://schemas.openxmlformats.org/wordprocessingml/2006/main">
  <w:body>
    <w:p>
      <w:r>
        <w:t>S-1172.1</w:t>
      </w:r>
    </w:p>
    <w:p>
      <w:pPr>
        <w:jc w:val="center"/>
      </w:pPr>
      <w:r>
        <w:t>_______________________________________________</w:t>
      </w:r>
    </w:p>
    <w:p/>
    <w:p>
      <w:pPr>
        <w:jc w:val="center"/>
      </w:pPr>
      <w:r>
        <w:rPr>
          <w:b/>
        </w:rPr>
        <w:t>SUBSTITUTE SENATE BILL 5202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Trudeau, Robinson, Conway, Hunt, Kuderer, Lovelett, Nguyen, Valdez, Wellman, and C. Wilson; by request of Office of Financial Management)</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in Washington state through capital expenditures for programs that address housing insecurity; adding new sections to chapter 43.100A RCW; adding new sections to chapter 43.330 RCW; creating new sections;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SHORT 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housing crisis response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facing a severe housing shortage that impacts the ability of many Washingtonians to obtain and maintain safe, stable, and affordable housing. The legislature recognizes that multiple factors contribute to the housing crisis, and that the combination of those factors has resulted in a housing deficit of more than 50,000 units for over a decade. The legislature finds that the deficit of new housing necessary to accommodate our growing population was 81,400 units in 2021. The legislature finds that every $100 increase in rent is associated with a 9 percent increase in homelessness, and that 40 percent of Washington households are spending more than 35 percent of their income on rent. The legislature finds that, to keep up with population projections, the state of Washington will need to construct an additional 1,000,000 housing units by 2040. The legislature finds that in order to meet the growing need for new housing, and to address the backlog of housing construction necessary to serve the current population, the state must make significant investments in housing. These investments include emergency, transitional, permanent supportive, permanent, and market rate housing to meet the diverse needs of all Washingtonians in every corner of the state. The legislature finds that a significant number of individuals facing housing instability or homelessness also have behavioral health needs that are not fully supported or addressed. The legislature recognizes behavioral health treatment capacity is essential to increasing and maintaining housing access and stability for all Washingtonians, including those with mental health and substance use conditions. The legislature intends to support these needs by issuing bonds to provide new money for capital programs and projects that are critical to addressing the state's housing crisis.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 AND RELATED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state finance committee is authorized to issue general obligation bonds of the state of Washington for the purpose of reducing homelessness by providing capital funding for selected programs and projects that address housing insecurity, as identified in this act and any omnibus capital appropriations act. The state finance committee is authorized to issue such bonds in the sum of $4,000,000,000, or so much thereof as may be required, for the stated purpose and all costs incidental thereto. The bonds issued under the authority of this section shall be known as Washington housing crisis response act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act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12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under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authorized in section 201 of this act,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(3)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201 of this act shall be deposited in the Washington housing crisis response account created in section 401 of this act, except as provided by section 207 of this act.</w:t>
      </w:r>
    </w:p>
    <w:p>
      <w:pPr>
        <w:spacing w:before="0" w:after="0" w:line="408" w:lineRule="exact"/>
        <w:ind w:left="0" w:right="0" w:firstLine="576"/>
        <w:jc w:val="left"/>
      </w:pPr>
      <w:r>
        <w:rPr/>
        <w:t xml:space="preserve">(2) The proceeds shall be used exclusively for the purpose stated in section 201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section 201 of this act shall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202 of this act may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finance committee deems it necessary to issue any portion of the bonds authorized in section 201 of this act as taxable bonds in order to comply with federal internal revenue service rules and regulations pertaining to the use of nontaxable bond proceeds, the proceeds of such taxable bonds must be transferred to the Washington housing crisis response taxable account created in section 402 of this act in lieu of any deposits otherwise provided by section 204 of this act. The state treasurer, on behalf of the state finance committee, must submit written notice to the director of the office of financial management if it is determined that any such transfer to the Washington housing crisis response taxable account is necessary. If such a transfer is required, a portion of the appropriation authority granted in any omnibus capital appropriations act from the Washington housing crisis response account is transferred to the Washington housing crisis response taxable account in an amount equal to the transferred proceeds. For purposes of this section, "nontaxable bond proceeds" includes proceeds from bonds issued as tax exempt bonds and proceeds from taxable bonds eligible for direct federal subsidy or other federal tax advantage under the federal internal revenue code and internal revenue service rules.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HOUSING ACCELERATOR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sections 301 through 303 of this act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workforce housing accelerator revolving loan fund program is created in the department of commerce to provide loans to eligible organizations to finance affordable housing for low-income households. The department shall contract with the Washington state housing finance commission to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administer loans to eligible organizations to assist with the development of housing for low-income households subject to the following requirements:</w:t>
      </w:r>
    </w:p>
    <w:p>
      <w:pPr>
        <w:spacing w:before="0" w:after="0" w:line="408" w:lineRule="exact"/>
        <w:ind w:left="0" w:right="0" w:firstLine="576"/>
        <w:jc w:val="left"/>
      </w:pPr>
      <w:r>
        <w:rPr/>
        <w:t xml:space="preserve">(1) Loans must be prioritized and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Commitment of private capital, with highest priority to applicants demonstrating the largest percentage of private capital committed to the project;</w:t>
      </w:r>
    </w:p>
    <w:p>
      <w:pPr>
        <w:spacing w:before="0" w:after="0" w:line="408" w:lineRule="exact"/>
        <w:ind w:left="0" w:right="0" w:firstLine="576"/>
        <w:jc w:val="left"/>
      </w:pPr>
      <w:r>
        <w:rPr/>
        <w:t xml:space="preserve">(c) Proposed cost efficiency, including development of a variety of unit types at the lowest cost;</w:t>
      </w:r>
    </w:p>
    <w:p>
      <w:pPr>
        <w:spacing w:before="0" w:after="0" w:line="408" w:lineRule="exact"/>
        <w:ind w:left="0" w:right="0" w:firstLine="576"/>
        <w:jc w:val="left"/>
      </w:pPr>
      <w:r>
        <w:rPr/>
        <w:t xml:space="preserve">(d) Development location, with the goal of awarding funding to projects equitably across the state;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w:t>
      </w:r>
    </w:p>
    <w:p>
      <w:pPr>
        <w:spacing w:before="0" w:after="0" w:line="408" w:lineRule="exact"/>
        <w:ind w:left="0" w:right="0" w:firstLine="576"/>
        <w:jc w:val="left"/>
      </w:pPr>
      <w:r>
        <w:rPr/>
        <w:t xml:space="preserve">(2) Any housing financed under the program must serve low-income households for at least 60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shall structure loans issued pursuant to this section with an interest rate above one percent, but not exceeding 2.5 percent, for the first 20 years. The commission may not require loan repayments in excess of 40 percent of cash flow on the project for the 12-month period preceding a repayment.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stack at the time of award.</w:t>
      </w:r>
    </w:p>
    <w:p>
      <w:pPr>
        <w:spacing w:before="0" w:after="0" w:line="408" w:lineRule="exact"/>
        <w:ind w:left="0" w:right="0" w:firstLine="576"/>
        <w:jc w:val="left"/>
      </w:pPr>
      <w:r>
        <w:rPr/>
        <w:t xml:space="preserve">(7) Upon receipt and repayment, any interest earnings and repaid loan funds may be reloaned to qualifying applicants to finance additional housing serving low-income populations under terms and conditions established by the commission, or expended for any other purpose consistent with section 201 of this act.</w:t>
      </w:r>
    </w:p>
    <w:p>
      <w:pPr>
        <w:spacing w:before="0" w:after="0" w:line="408" w:lineRule="exact"/>
        <w:ind w:left="0" w:right="0" w:firstLine="576"/>
        <w:jc w:val="left"/>
      </w:pPr>
      <w:r>
        <w:rPr/>
        <w:t xml:space="preserve">(8) All loans issued pursuant to this section must be assumable by a qualifying applicant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Ensure equitable geographic distribution of loan funding awarded. The commission shall not allocate more than $20,000,000 per round of funding to projects in each individual county.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rules necessary to administer the program established in this section and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Washington housing crisis response account is created in the state treasury. Proceeds from the bonds issued under section 201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housing crisis response taxable account is created in the state treasury. Proceeds from any taxable bonds issued under section 201 of this act and directed to the account under section 207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secretary of state shall submit sections 201 through 207 of this act to the people for their adoption and ratification, or rejection, at the next general election to be held in this state, in accordance with Article VIII, section 3 of the state Constitution and the laws adopted to facilitate its operation.</w:t>
      </w:r>
    </w:p>
    <w:p>
      <w:pPr>
        <w:spacing w:before="0" w:after="0" w:line="408" w:lineRule="exact"/>
        <w:ind w:left="0" w:right="0" w:firstLine="576"/>
        <w:jc w:val="left"/>
      </w:pPr>
      <w:r>
        <w:rPr/>
        <w:t xml:space="preserve">(2) If the people ratify sections 201 through 207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29A.72.050(7), the statement of subject and concise description for the ballot title shall read: "The legislature has passed . . . Bill No. . . . (this act), concerning reducing homelessness in Washington state through capital expenditures for programs that address housing insecurity. This bill would reduce homelessness by providing capital funding for selected programs and projects that address housing insecurity."</w:t>
      </w:r>
    </w:p>
    <w:p>
      <w:pPr>
        <w:spacing w:before="0" w:after="0" w:line="408" w:lineRule="exact"/>
        <w:ind w:left="0" w:right="0" w:firstLine="576"/>
        <w:jc w:val="left"/>
      </w:pPr>
      <w:r>
        <w:rPr/>
        <w:t xml:space="preserve">(4) The attorney general must prepare a public investment impact disclosure for the referendum under this section that satisfies the requirements of RCW 29A.72.027 (2) through (5) and the secretary of state must certify and timely transmit the public investment impact disclosure to each county auditor for its inclusion on the ballot. The public investment impact disclosure is not considered part of the ballot title under chapter 29A.72 RCW and is not subject to any of the legal requirements for ballot titles.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201 through 207 of this act are each added to chapter 43.100A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303, 401, and 402 of this act are each added to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402 of this act take effect if sections 201 through 207 of this act are approved by the voters by January 1, 2024. </w:t>
      </w:r>
    </w:p>
    <w:p/>
    <w:p>
      <w:pPr>
        <w:jc w:val="center"/>
      </w:pPr>
      <w:r>
        <w:rPr>
          <w:b/>
        </w:rPr>
        <w:t>--- END ---</w:t>
      </w:r>
    </w:p>
    <w:sectPr>
      <w:pgNumType w:start="1"/>
      <w:footerReference xmlns:r="http://schemas.openxmlformats.org/officeDocument/2006/relationships" r:id="Rbe4c3d6df68d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9dc3ab84d54f76" /><Relationship Type="http://schemas.openxmlformats.org/officeDocument/2006/relationships/footer" Target="/word/footer1.xml" Id="Rbe4c3d6df68d43ef" /></Relationships>
</file>