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12401ba0747a1" /></Relationships>
</file>

<file path=word/document.xml><?xml version="1.0" encoding="utf-8"?>
<w:document xmlns:w="http://schemas.openxmlformats.org/wordprocessingml/2006/main">
  <w:body>
    <w:p>
      <w:r>
        <w:t>Z-0195.1</w:t>
      </w:r>
    </w:p>
    <w:p>
      <w:pPr>
        <w:jc w:val="center"/>
      </w:pPr>
      <w:r>
        <w:t>_______________________________________________</w:t>
      </w:r>
    </w:p>
    <w:p/>
    <w:p>
      <w:pPr>
        <w:jc w:val="center"/>
      </w:pPr>
      <w:r>
        <w:rPr>
          <w:b/>
        </w:rPr>
        <w:t>SENATE BILL 5203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Liias, Frame, Hasegawa, Hunt, Keiser, Nguyen, Nobles, Pedersen, Rolfes, Salomon, Stanford, Valdez, and C. Wilson; by request of Office of the Governor</w:t>
      </w:r>
    </w:p>
    <w:p/>
    <w:p>
      <w:r>
        <w:rPr>
          <w:t xml:space="preserve">Prefiled 01/06/23.</w:t>
        </w:rPr>
      </w:r>
      <w:r>
        <w:rPr>
          <w:t xml:space="preserve">Read first time 01/09/23.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planning framework; amending RCW 36.70A.020, 36.70A.480, 36.70A.320, 36.70A.190, 86.12.200, and 36.70A.030; reenacting and amending RCW 36.70A.070 and 36.70A.130; adding new sections to chapter 36.70A RCW; adding a new section to chapter 70A.45 RCW; adding a new section to chapter 47.80 RCW; adding a new section to chapter 90.58 RCW;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residential development pressure in the wildland urban interface area, creating open space buffers between human development and wildfire prone landscapes, and protecting existing residential development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in overburdened communities in order to maximize the cobenefits of reduced air pollution and environmental justice consistent with chapter 70A.02 RCW.</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overburdened communities as defined in chapter 70A.02 RCW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in overburdened communities as defined in RCW 70A.02.010,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For the jurisdictions set forth in section 4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(g) The adoption of ordinances, amendments to comprehensive plans, amendments to development regulations, and other nonproject actions taken by a county or city pursuant to (d) or (f)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or (b)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of at least 100,000; or</w:t>
      </w:r>
    </w:p>
    <w:p>
      <w:pPr>
        <w:spacing w:before="0" w:after="0" w:line="408" w:lineRule="exact"/>
        <w:ind w:left="0" w:right="0" w:firstLine="576"/>
        <w:jc w:val="left"/>
      </w:pPr>
      <w:r>
        <w:rPr/>
        <w:t xml:space="preserve">(b) A county with a population density of at least 75 people per square mile and an annual growth rate of at least 1.75 percent.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April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reductions in overburdened communities as defined in RCW 70A.02.010,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using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 as defined in RCW 70A.02.010.</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zoned housing capacity.</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zoned housing capacity.</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(3)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(i) Review the issues identified by the public, interested parties, groups, and agencies; and (ii)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(4)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(5)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(6)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(7)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(f)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10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10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built structures, and management practices at multiple scales that manage wet weather and that maintain and restore natural hydrology by storing, infiltrating, evapotranspiring, and harvesting and using stormwater.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incorporate a climate change and resiliency element into its comprehensive plan as part of the first implementation progress report required by subsection (9) of this section.</w:t>
      </w:r>
    </w:p>
    <w:p/>
    <w:p>
      <w:pPr>
        <w:jc w:val="center"/>
      </w:pPr>
      <w:r>
        <w:rPr>
          <w:b/>
        </w:rPr>
        <w:t>--- END ---</w:t>
      </w:r>
    </w:p>
    <w:sectPr>
      <w:pgNumType w:start="1"/>
      <w:footerReference xmlns:r="http://schemas.openxmlformats.org/officeDocument/2006/relationships" r:id="Rab34eeeb0e2548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316bb1d4b4225" /><Relationship Type="http://schemas.openxmlformats.org/officeDocument/2006/relationships/footer" Target="/word/footer1.xml" Id="Rab34eeeb0e2548d9" /></Relationships>
</file>