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86ebd34634958" /></Relationships>
</file>

<file path=word/document.xml><?xml version="1.0" encoding="utf-8"?>
<w:document xmlns:w="http://schemas.openxmlformats.org/wordprocessingml/2006/main">
  <w:body>
    <w:p>
      <w:r>
        <w:t>S-0297.1</w:t>
      </w:r>
    </w:p>
    <w:p>
      <w:pPr>
        <w:jc w:val="center"/>
      </w:pPr>
      <w:r>
        <w:t>_______________________________________________</w:t>
      </w:r>
    </w:p>
    <w:p/>
    <w:p>
      <w:pPr>
        <w:jc w:val="center"/>
      </w:pPr>
      <w:r>
        <w:rPr>
          <w:b/>
        </w:rPr>
        <w:t>SENATE BILL 5225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Conway, Frame, Hasegawa, Hunt, Keiser, Lovelett, Nguyen, Salomon, Shewmake, Stanford, and Valdez</w:t>
      </w:r>
    </w:p>
    <w:p/>
    <w:p>
      <w:r>
        <w:rPr>
          <w:t xml:space="preserve">Read first time 01/10/23.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working connections child care program; amending RCW 43.216.136 and 43.216.1368; reenacting and amending RCW 43.216.135; adding a new section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working connections child care program provides quality child care for families. The legislature intends to increase access to this program for certain families.</w:t>
      </w:r>
    </w:p>
    <w:p>
      <w:pPr>
        <w:spacing w:before="0" w:after="0" w:line="408" w:lineRule="exact"/>
        <w:ind w:left="0" w:right="0" w:firstLine="576"/>
        <w:jc w:val="left"/>
      </w:pPr>
      <w:r>
        <w:rPr/>
        <w:t xml:space="preserve">(2) The legislature recognizes that child care providers are struggling to hire and retain child care employees. As stated in RCW 43.216.749, the legislature intends to systemically increase child care subsidy rates over time until rates are equal to the full cost of providing high quality child care to help address these workforce issues. The legislature intends to provide child care employees with access to the working connections child care program as a more immediate benefit while acknowledging that this benefit may not be needed as child care subsidy rates increase.</w:t>
      </w:r>
    </w:p>
    <w:p>
      <w:pPr>
        <w:spacing w:before="0" w:after="0" w:line="408" w:lineRule="exact"/>
        <w:ind w:left="0" w:right="0" w:firstLine="576"/>
        <w:jc w:val="left"/>
      </w:pPr>
      <w:r>
        <w:rPr/>
        <w:t xml:space="preserve">(3) As stated in RCW 2.30.010, the legislature recognizes that therapeutic courts provide an opportunity for defendants or respondents to obtain treatment services to address particular issues that may have contributed to the conduct that led to their issue before the court. The legislature intends to provide those participating in these courts with access to the working connections child care program to help support their success in these courts and to provide stable and high quality child care for their families.</w:t>
      </w:r>
    </w:p>
    <w:p>
      <w:pPr>
        <w:spacing w:before="0" w:after="0" w:line="408" w:lineRule="exact"/>
        <w:ind w:left="0" w:right="0" w:firstLine="576"/>
        <w:jc w:val="left"/>
      </w:pPr>
      <w:r>
        <w:rPr/>
        <w:t xml:space="preserve">(4) The legislature acknowledges that the state has granted higher education tuition assistance to students regardless of their immigration status. This assistance is one step toward helping these students on their educational pathway and will in turn help address workforce shortages. The legislature recognizes that child care for these students, who are also parents, is a barrier to enrollment in these higher education programs. The legislature acknowledges that the working connections child care program requires children to have a certain immigration status to be eligible. The legislature intends to expand the working connections child care program to provide access to child care for these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Beginning October 1, 2023, a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w:t>
      </w:r>
      <w:r>
        <w:t>((</w:t>
      </w:r>
      <w:r>
        <w:rPr>
          <w:strike/>
        </w:rPr>
        <w:t xml:space="preserve">or</w:t>
      </w:r>
      <w:r>
        <w:t>))</w:t>
      </w:r>
    </w:p>
    <w:p>
      <w:pPr>
        <w:spacing w:before="0" w:after="0" w:line="408" w:lineRule="exact"/>
        <w:ind w:left="0" w:right="0" w:firstLine="576"/>
        <w:jc w:val="left"/>
      </w:pPr>
      <w:r>
        <w:rPr/>
        <w:t xml:space="preserve">(C) Received services through a family assessment response as defined and used by chapter 26.44 RCW; </w:t>
      </w:r>
      <w:r>
        <w:rPr>
          <w:u w:val="single"/>
        </w:rPr>
        <w:t xml:space="preserve">or</w:t>
      </w:r>
    </w:p>
    <w:p>
      <w:pPr>
        <w:spacing w:before="0" w:after="0" w:line="408" w:lineRule="exact"/>
        <w:ind w:left="0" w:right="0" w:firstLine="576"/>
        <w:jc w:val="left"/>
      </w:pPr>
      <w:r>
        <w:rPr>
          <w:u w:val="single"/>
        </w:rPr>
        <w:t xml:space="preserve">(D) A parent or guardian participating in a specialty court or therapeutic court as defined in RCW 2.30.020;</w:t>
      </w:r>
    </w:p>
    <w:p>
      <w:pPr>
        <w:spacing w:before="0" w:after="0" w:line="408" w:lineRule="exact"/>
        <w:ind w:left="0" w:right="0" w:firstLine="576"/>
        <w:jc w:val="left"/>
      </w:pPr>
      <w:r>
        <w:rPr/>
        <w:t xml:space="preserve">(ii) Have been referred for child care as part of the family's case management as defined by RCW 74.13.020 </w:t>
      </w:r>
      <w:r>
        <w:rPr>
          <w:u w:val="single"/>
        </w:rPr>
        <w:t xml:space="preserve">or as part of the specialty court or therapeutic court's proceedings</w:t>
      </w:r>
      <w:r>
        <w:rPr/>
        <w:t xml:space="preserve">;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w:t>
      </w:r>
      <w:r>
        <w:rPr>
          <w:u w:val="single"/>
        </w:rPr>
        <w:t xml:space="preserve">or keep participating in a specialty court or therapeutic court</w:t>
      </w:r>
      <w:r>
        <w:rPr/>
        <w:t xml:space="preserve">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w:t>
      </w:r>
    </w:p>
    <w:p>
      <w:pPr>
        <w:spacing w:before="0" w:after="0" w:line="408" w:lineRule="exact"/>
        <w:ind w:left="0" w:right="0" w:firstLine="576"/>
        <w:jc w:val="left"/>
      </w:pPr>
      <w:r>
        <w:rPr/>
        <w:t xml:space="preserve">(ii) An associate degree program; or</w:t>
      </w:r>
    </w:p>
    <w:p>
      <w:pPr>
        <w:spacing w:before="0" w:after="0" w:line="408" w:lineRule="exact"/>
        <w:ind w:left="0" w:right="0" w:firstLine="576"/>
        <w:jc w:val="left"/>
      </w:pPr>
      <w:r>
        <w:rPr/>
        <w:t xml:space="preserve">(iii) A registered apprenticeship program.</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 </w:t>
      </w:r>
      <w:r>
        <w:rPr>
          <w:u w:val="single"/>
        </w:rPr>
        <w:t xml:space="preserve">The department may not consider the immigration status of an applicant or consumer's child when determining eligibility for working connections child care benefits when the applicant or consumer is a full-time student and is enrolled in one of the programs listed in subsection (4) of this section.</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2022 c 297 s 959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0" w:after="0" w:line="408" w:lineRule="exact"/>
        <w:ind w:left="0" w:right="0" w:firstLine="576"/>
        <w:jc w:val="left"/>
      </w:pPr>
      <w:r>
        <w:rPr>
          <w:u w:val="single"/>
        </w:rPr>
        <w:t xml:space="preserve">(7) This section does not apply to households eligible for the working connections child care program under RCW 43.216.145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2020 c 355 s 2, 2020 c 321 s 2, and 2020 c 279 s 1 are each reenacted and amended to read as follows:</w:t>
      </w:r>
    </w:p>
    <w:p>
      <w:pPr>
        <w:spacing w:before="0" w:after="0" w:line="408" w:lineRule="exact"/>
        <w:ind w:left="0" w:right="0" w:firstLine="576"/>
        <w:jc w:val="left"/>
      </w:pPr>
      <w:r>
        <w:rPr/>
        <w:t xml:space="preserve">(1)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(2)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(3)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(4)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(5)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(6) The department shall account for a child care copayment collected by the provider from the family for each contracted slot </w:t>
      </w:r>
      <w:r>
        <w:t>((</w:t>
      </w:r>
      <w:r>
        <w:rPr>
          <w:strike/>
        </w:rPr>
        <w:t xml:space="preserve">and establish the copayment fee by rule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October 1, 2023.</w:t>
      </w:r>
    </w:p>
    <w:p/>
    <w:p>
      <w:pPr>
        <w:jc w:val="center"/>
      </w:pPr>
      <w:r>
        <w:rPr>
          <w:b/>
        </w:rPr>
        <w:t>--- END ---</w:t>
      </w:r>
    </w:p>
    <w:sectPr>
      <w:pgNumType w:start="1"/>
      <w:footerReference xmlns:r="http://schemas.openxmlformats.org/officeDocument/2006/relationships" r:id="Rce7ab73f977b4a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4520717fb4431" /><Relationship Type="http://schemas.openxmlformats.org/officeDocument/2006/relationships/footer" Target="/word/footer1.xml" Id="Rce7ab73f977b4afc" /></Relationships>
</file>