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a9a250ee64790" /></Relationships>
</file>

<file path=word/document.xml><?xml version="1.0" encoding="utf-8"?>
<w:document xmlns:w="http://schemas.openxmlformats.org/wordprocessingml/2006/main">
  <w:body>
    <w:p>
      <w:r>
        <w:t>S-0215.2</w:t>
      </w:r>
    </w:p>
    <w:p>
      <w:pPr>
        <w:jc w:val="center"/>
      </w:pPr>
      <w:r>
        <w:t>_______________________________________________</w:t>
      </w:r>
    </w:p>
    <w:p/>
    <w:p>
      <w:pPr>
        <w:jc w:val="center"/>
      </w:pPr>
      <w:r>
        <w:rPr>
          <w:b/>
        </w:rPr>
        <w:t>SENATE BILL 5241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Rolfes, Kuderer, Trudeau, Pedersen, Shewmake, Hunt, Saldaña, Kauffman, Valdez, Lovick, Robinson, Lovelett, Liias, Frame, Nguyen, Stanford, and C. Wilson</w:t>
      </w:r>
    </w:p>
    <w:p/>
    <w:p>
      <w:r>
        <w:rPr>
          <w:t xml:space="preserve">Read first time 01/10/23.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material changes to the operations and governance structure of participants in the health care marketplace; amending RCW 19.390.010, 19.390.020, 19.390.030, 19.390.040, 19.390.050, 19.390.080, and 19.390.070; adding new sections to chapter 19.390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and none of the parties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w:t>
      </w:r>
    </w:p>
    <w:p>
      <w:pPr>
        <w:spacing w:before="0" w:after="0" w:line="408" w:lineRule="exact"/>
        <w:ind w:left="0" w:right="0" w:firstLine="576"/>
        <w:jc w:val="left"/>
      </w:pPr>
      <w:r>
        <w:rPr>
          <w:u w:val="single"/>
        </w:rPr>
        <w:t xml:space="preserve">(c) If applicable, a statement from each of the parties' board of directors that explains the effect the material change transaction will likely have on delivery and cost of health-related services to the communities impacted by the material change transaction, and the basis for this opinion. The statement must also describe all dissenting viewpoints of which the boards of directors are aware;</w:t>
      </w:r>
    </w:p>
    <w:p>
      <w:pPr>
        <w:spacing w:before="0" w:after="0" w:line="408" w:lineRule="exact"/>
        <w:ind w:left="0" w:right="0" w:firstLine="576"/>
        <w:jc w:val="left"/>
      </w:pPr>
      <w:r>
        <w:rPr>
          <w:u w:val="single"/>
        </w:rPr>
        <w:t xml:space="preserve">(d) If applicable, a copy of the two most recent community needs assessments or any similar evaluations or assessments prepared by or for any of the hospitals, hospital systems, or provider organizations that are the subject of the material change transaction, and the identity of all persons who assisted or contributed to any of the evaluations or assessments;</w:t>
      </w:r>
    </w:p>
    <w:p>
      <w:pPr>
        <w:spacing w:before="0" w:after="0" w:line="408" w:lineRule="exact"/>
        <w:ind w:left="0" w:right="0" w:firstLine="576"/>
        <w:jc w:val="left"/>
      </w:pPr>
      <w:r>
        <w:rPr>
          <w:u w:val="single"/>
        </w:rPr>
        <w:t xml:space="preserve">(e)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Inpatient, outpatient, and emergency room charity care spending;</w:t>
      </w:r>
    </w:p>
    <w:p>
      <w:pPr>
        <w:spacing w:before="0" w:after="0" w:line="408" w:lineRule="exact"/>
        <w:ind w:left="0" w:right="0" w:firstLine="576"/>
        <w:jc w:val="left"/>
      </w:pPr>
      <w:r>
        <w:rPr>
          <w:u w:val="single"/>
        </w:rPr>
        <w:t xml:space="preserve">(iii) A description of how the amount of charity care spending was calculated;</w:t>
      </w:r>
    </w:p>
    <w:p>
      <w:pPr>
        <w:spacing w:before="0" w:after="0" w:line="408" w:lineRule="exact"/>
        <w:ind w:left="0" w:right="0" w:firstLine="576"/>
        <w:jc w:val="left"/>
      </w:pPr>
      <w:r>
        <w:rPr>
          <w:u w:val="single"/>
        </w:rPr>
        <w:t xml:space="preserve">(iv) Annual charity care inpatient discharges, outpatient visits, and emergency visits;</w:t>
      </w:r>
    </w:p>
    <w:p>
      <w:pPr>
        <w:spacing w:before="0" w:after="0" w:line="408" w:lineRule="exact"/>
        <w:ind w:left="0" w:right="0" w:firstLine="576"/>
        <w:jc w:val="left"/>
      </w:pPr>
      <w:r>
        <w:rPr>
          <w:u w:val="single"/>
        </w:rPr>
        <w:t xml:space="preserve">(v) A description of the types of charity care services provided annually;</w:t>
      </w:r>
    </w:p>
    <w:p>
      <w:pPr>
        <w:spacing w:before="0" w:after="0" w:line="408" w:lineRule="exact"/>
        <w:ind w:left="0" w:right="0" w:firstLine="576"/>
        <w:jc w:val="left"/>
      </w:pPr>
      <w:r>
        <w:rPr>
          <w:u w:val="single"/>
        </w:rPr>
        <w:t xml:space="preserve">(vi) The number of charity care denials and reasons for denial; and</w:t>
      </w:r>
    </w:p>
    <w:p>
      <w:pPr>
        <w:spacing w:before="0" w:after="0" w:line="408" w:lineRule="exact"/>
        <w:ind w:left="0" w:right="0" w:firstLine="576"/>
        <w:jc w:val="left"/>
      </w:pPr>
      <w:r>
        <w:rPr>
          <w:u w:val="single"/>
        </w:rPr>
        <w:t xml:space="preserve">(vii) A description of the policies, procedures, and eligibility requirements for the provision of charity care;</w:t>
      </w:r>
    </w:p>
    <w:p>
      <w:pPr>
        <w:spacing w:before="0" w:after="0" w:line="408" w:lineRule="exact"/>
        <w:ind w:left="0" w:right="0" w:firstLine="576"/>
        <w:jc w:val="left"/>
      </w:pPr>
      <w:r>
        <w:rPr>
          <w:u w:val="single"/>
        </w:rPr>
        <w:t xml:space="preserve">(f)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(g) A description of all services provided in the past five years by each hospital, hospital system, and provider organization that is the subject of the material change transaction to apple health patients, qualified health plan patients, and indigent patients. This description must include, but is not limited to, the type and volume of services provided, the payors for the services provided, the demographic characteristics of and zip code data for the patients served by the hospital, hospital system, or provider organization, and the costs and revenues for the services provided;</w:t>
      </w:r>
    </w:p>
    <w:p>
      <w:pPr>
        <w:spacing w:before="0" w:after="0" w:line="408" w:lineRule="exact"/>
        <w:ind w:left="0" w:right="0" w:firstLine="576"/>
        <w:jc w:val="left"/>
      </w:pPr>
      <w:r>
        <w:rPr>
          <w:u w:val="single"/>
        </w:rPr>
        <w:t xml:space="preserve">(h)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(i) The following current policies for any hospital and, to the extent they exist, the following current policies for any provider organization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(j)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(k)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(l)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five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levels of reproductive services provided in the last five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(m)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five years by each hospital, hospital system, or provider organization that is the subject of the material change transaction and a description of the effect the material change transaction will have on available end-of-life care services. This description must include the types and levels of end-of-life services provided in the last five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(n) If the material change transaction will have any impact on gender affirming health care services provided by any hospital, hospital system, or provider organization that is the subject of the material change transaction, or any impact on the availability or accessibility of gender affirming health care services in Washington state, a description of all gender affirming health care services provided in the last five years by each hospital, hospital system, or provider organization that is the subject of the material change transaction and a description of the effect the material change transaction will have on available gender affirming care. This description must include the types and levels of gender affirming health care provided in the last five years and those proposed to be provided after the material change transaction including, but not limited to, facial gender affirming care, body gender affirming care, and primary sex characteristics care, and a description of how this information was compiled;</w:t>
      </w:r>
    </w:p>
    <w:p>
      <w:pPr>
        <w:spacing w:before="0" w:after="0" w:line="408" w:lineRule="exact"/>
        <w:ind w:left="0" w:right="0" w:firstLine="576"/>
        <w:jc w:val="left"/>
      </w:pPr>
      <w:r>
        <w:rPr>
          <w:u w:val="single"/>
        </w:rPr>
        <w:t xml:space="preserve">(o) A description of any anticipated changes in health care services provided after the material change transaction by any hospital, hospital system, or provider organization that is the subject of the material change transaction. If anticipated alterations include a reduction, relocation, or elimination of a service, the following information should be included: (i) The need the population presently has for the service; (ii) how the need will be adequately met by the proposed alteration; and (iii) alternative arrangements designed to meet the identified need;</w:t>
      </w:r>
    </w:p>
    <w:p>
      <w:pPr>
        <w:spacing w:before="0" w:after="0" w:line="408" w:lineRule="exact"/>
        <w:ind w:left="0" w:right="0" w:firstLine="576"/>
        <w:jc w:val="left"/>
      </w:pPr>
      <w:r>
        <w:rPr>
          <w:u w:val="single"/>
        </w:rPr>
        <w:t xml:space="preserve">(p)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(q)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(r) A description of any community benefit program provided by any of the parties to the material change transaction during the past five years with an annual cost of at least $10,000 and the annual cost of each program for the past five years;</w:t>
      </w:r>
    </w:p>
    <w:p>
      <w:pPr>
        <w:spacing w:before="0" w:after="0" w:line="408" w:lineRule="exact"/>
        <w:ind w:left="0" w:right="0" w:firstLine="576"/>
        <w:jc w:val="left"/>
      </w:pPr>
      <w:r>
        <w:rPr>
          <w:u w:val="single"/>
        </w:rPr>
        <w:t xml:space="preserve">(s) For each hospital, hospital system, or provider organization that is the subject of the material change transaction,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(t) For each hospital, hospital system, or provider organization that is the subject of the material change transaction, all existing documents setting forth any guarantees made by any entity that would be taking over operation or control of each hospital, hospital system, or provider organization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(u) For each hospital, hospital system, or provider organization that is the subject of the material change transaction,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(v)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(w) For each hospital, hospital system, or provider organization that is the subject of the material change transaction,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(x) If applicable, a detailed statement and documents relating to the parties' plans for assuring the continuance of existing hospital privileges after the material change transaction;</w:t>
      </w:r>
    </w:p>
    <w:p>
      <w:pPr>
        <w:spacing w:before="0" w:after="0" w:line="408" w:lineRule="exact"/>
        <w:ind w:left="0" w:right="0" w:firstLine="576"/>
        <w:jc w:val="left"/>
      </w:pPr>
      <w:r>
        <w:rPr>
          <w:u w:val="single"/>
        </w:rPr>
        <w:t xml:space="preserve">(y) If applicable, a detailed statement and documents relating to the parties' plans for ensuring the maintenance of appropriate health science research and health care provider education after the material change transaction;</w:t>
      </w:r>
    </w:p>
    <w:p>
      <w:pPr>
        <w:spacing w:before="0" w:after="0" w:line="408" w:lineRule="exact"/>
        <w:ind w:left="0" w:right="0" w:firstLine="576"/>
        <w:jc w:val="left"/>
      </w:pPr>
      <w:r>
        <w:rPr>
          <w:u w:val="single"/>
        </w:rPr>
        <w:t xml:space="preserve">(z)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(aa)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(bb) A list of the primary languages spoken by patients at each hospital, hospital system, or provider organization that is the subject of the material change transaction.</w:t>
      </w:r>
    </w:p>
    <w:p>
      <w:pPr>
        <w:spacing w:before="0" w:after="0" w:line="408" w:lineRule="exact"/>
        <w:ind w:left="0" w:right="0" w:firstLine="576"/>
        <w:jc w:val="left"/>
      </w:pPr>
      <w:r>
        <w:rPr>
          <w:u w:val="single"/>
        </w:rPr>
        <w:t xml:space="preserve">(4) The attorney general shall charge an applicant fee sufficient to cover the costs of implementing this chapter.</w:t>
      </w:r>
    </w:p>
    <w:p>
      <w:pPr>
        <w:spacing w:before="0" w:after="0" w:line="408" w:lineRule="exact"/>
        <w:ind w:left="0" w:right="0" w:firstLine="576"/>
        <w:jc w:val="left"/>
      </w:pPr>
      <w:r>
        <w:rPr>
          <w:u w:val="single"/>
        </w:rPr>
        <w:t xml:space="preserve">(5) The attorney general may request additional information that is necessary to implement the goals of this chapter.</w:t>
      </w:r>
    </w:p>
    <w:p>
      <w:pPr>
        <w:spacing w:before="0" w:after="0" w:line="408" w:lineRule="exact"/>
        <w:ind w:left="0" w:right="0" w:firstLine="576"/>
        <w:jc w:val="left"/>
      </w:pPr>
      <w:r>
        <w:rPr>
          <w:u w:val="single"/>
        </w:rPr>
        <w:t xml:space="preserve">(6)</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30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review the completed notice and, if the attorney general determines the material change transaction will not fulfill the requirements under section 9 of this act, the attorney general shall within 120 days of receiving the completed notice:</w:t>
      </w:r>
    </w:p>
    <w:p>
      <w:pPr>
        <w:spacing w:before="0" w:after="0" w:line="408" w:lineRule="exact"/>
        <w:ind w:left="0" w:right="0" w:firstLine="576"/>
        <w:jc w:val="left"/>
      </w:pPr>
      <w:r>
        <w:rPr/>
        <w:t xml:space="preserve">(a) Impose conditions or modifications on the material change transaction to ensure the requirements of section 9 of this act are met and that sufficient safeguards are in place to ensure communities have continued or improved access to affordable quality care; or</w:t>
      </w:r>
    </w:p>
    <w:p>
      <w:pPr>
        <w:spacing w:before="0" w:after="0" w:line="408" w:lineRule="exact"/>
        <w:ind w:left="0" w:right="0" w:firstLine="576"/>
        <w:jc w:val="left"/>
      </w:pPr>
      <w:r>
        <w:rPr/>
        <w:t xml:space="preserve">(b) Disapprove the material change transaction, which shall constitute a final decision.</w:t>
      </w:r>
    </w:p>
    <w:p>
      <w:pPr>
        <w:spacing w:before="0" w:after="0" w:line="408" w:lineRule="exact"/>
        <w:ind w:left="0" w:right="0" w:firstLine="576"/>
        <w:jc w:val="left"/>
      </w:pPr>
      <w:r>
        <w:rPr/>
        <w:t xml:space="preserve">(2)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(3)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review of notices of material change transactions under RCW 19.390.040(3), the attorney general shall conduct one or more public hearings, at least one of which must be in a county where one of the communities impacted by the material change transaction is located.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A public hearing must be held no later than 30 days after the health equity assessment required under section 12 of this act is completed.</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after the initial public hearing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 included under RCW 19.390.040(3), the attorney general must hire an independent contractor to prepare a health equity assessment. In creating a health equity assessment, the independent contractor must engage with and provide input in the assessment from public health experts, organizations representing employees of the applicant, health care advocates, and community members who reside in the service areas of the parties to the material change transaction.</w:t>
      </w:r>
    </w:p>
    <w:p>
      <w:pPr>
        <w:spacing w:before="0" w:after="0" w:line="408" w:lineRule="exact"/>
        <w:ind w:left="0" w:right="0" w:firstLine="576"/>
        <w:jc w:val="left"/>
      </w:pPr>
      <w:r>
        <w:rPr/>
        <w:t xml:space="preserve">(2) The health equity assessment must contain information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10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10 of this act, disapproved the material change transaction or the parties to the material change transaction have not agreed to any conditions or modifications imposed by the attorney general in accordance with section 10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10 of this act or that does not incorporate any conditions or modifications imposed by the attorney general in accordance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 at the parties' or successor persons' expense.</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The attorney general is entitled to reimbursement from the parties or any successor persons for all actual and direct costs incurred in monitoring ongoing compliance for 10 years, including contract and administrative costs.</w:t>
      </w:r>
    </w:p>
    <w:p>
      <w:pPr>
        <w:spacing w:before="0" w:after="0" w:line="408" w:lineRule="exact"/>
        <w:ind w:left="0" w:right="0" w:firstLine="576"/>
        <w:jc w:val="left"/>
      </w:pPr>
      <w:r>
        <w:rPr/>
        <w:t xml:space="preserve">(6) The attorney general may bill the parties or successor persons and the parties or successor billed by the attorney general shall promptly pay. If the parties or successor fail to pay within 30 days, the attorney general may assess a civil fine of five percent of the billed amount for each day the party does not pay.</w:t>
      </w:r>
    </w:p>
    <w:p>
      <w:pPr>
        <w:spacing w:before="0" w:after="0" w:line="408" w:lineRule="exact"/>
        <w:ind w:left="0" w:right="0" w:firstLine="576"/>
        <w:jc w:val="left"/>
      </w:pPr>
      <w:r>
        <w:rPr/>
        <w:t xml:space="preserve">(7)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10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(8) If after the investigation, the attorney general determines that the parties or successor persons no longer satisfy the requirements of section 9 of this act, or are not complying with conditions or modifications imposed under section 10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(9)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(10) The cost of the investigation and any on-site reviews related to determining the validity of the information will be borne by the parties to the material change transaction or successor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15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in response to RCW 19.390.040(3) (a) through (bb) and all materials provided during public hearings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2025,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24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abab1e69b28942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27bc26750940ab" /><Relationship Type="http://schemas.openxmlformats.org/officeDocument/2006/relationships/footer" Target="/word/footer1.xml" Id="Rabab1e69b28942a3" /></Relationships>
</file>