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1024f95a9421d" /></Relationships>
</file>

<file path=word/document.xml><?xml version="1.0" encoding="utf-8"?>
<w:document xmlns:w="http://schemas.openxmlformats.org/wordprocessingml/2006/main">
  <w:body>
    <w:p>
      <w:r>
        <w:t>S-1624.1</w:t>
      </w:r>
    </w:p>
    <w:p>
      <w:pPr>
        <w:jc w:val="center"/>
      </w:pPr>
      <w:r>
        <w:t>_______________________________________________</w:t>
      </w:r>
    </w:p>
    <w:p/>
    <w:p>
      <w:pPr>
        <w:jc w:val="center"/>
      </w:pPr>
      <w:r>
        <w:rPr>
          <w:b/>
        </w:rPr>
        <w:t>SECOND SUBSTITUTE SENATE BILL 5243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Hunt, Kuderer, Nobles, and C. Wilson; by request of Superintendent of Public Instruction)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creating a new section; repealing RCW 28A.655.270;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2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(2)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(3)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(4)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(5)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(6)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(7)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2 of this act and has the capabilities to support the new elements identified in section 4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and statewide professional development that may be needed, for completing full statewide implementation of the universal platform.</w:t>
      </w:r>
    </w:p>
    <w:p>
      <w:pPr>
        <w:spacing w:before="0" w:after="0" w:line="408" w:lineRule="exact"/>
        <w:ind w:left="0" w:right="0" w:firstLine="576"/>
        <w:jc w:val="left"/>
      </w:pPr>
      <w:r>
        <w:rPr>
          <w:u w:val="single"/>
        </w:rPr>
        <w:t xml:space="preserve">(4)(a) In addition to the requirements outlined in section 2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higher education institutions,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include considerations around how the universal platform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2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public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2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e6d3e8d6e329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6e67c97894c15" /><Relationship Type="http://schemas.openxmlformats.org/officeDocument/2006/relationships/footer" Target="/word/footer1.xml" Id="Re6d3e8d6e3294d21" /></Relationships>
</file>