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77c2fc1ff4f3f" /></Relationships>
</file>

<file path=word/document.xml><?xml version="1.0" encoding="utf-8"?>
<w:document xmlns:w="http://schemas.openxmlformats.org/wordprocessingml/2006/main">
  <w:body>
    <w:p>
      <w:r>
        <w:t>Z-0139.2</w:t>
      </w:r>
    </w:p>
    <w:p>
      <w:pPr>
        <w:jc w:val="center"/>
      </w:pPr>
      <w:r>
        <w:t>_______________________________________________</w:t>
      </w:r>
    </w:p>
    <w:p/>
    <w:p>
      <w:pPr>
        <w:jc w:val="center"/>
      </w:pPr>
      <w:r>
        <w:rPr>
          <w:b/>
        </w:rPr>
        <w:t>SENATE BILL 5284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Billig, Frame, Hunt, Keiser, Kuderer, Shewmake, and C. Wilson; by request of Public Disclosure Commission</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campaign finance disclosure; and amending RCW 42.17A.205, 42.17A.207, 42.17A.235, 42.17A.255, 42.17A.260, 42.17A.265, 42.17A.345, 42.17A.640, and 42.17A.785.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27th day, the 20th day, and the sixth</w:t>
      </w:r>
      <w:r>
        <w:rPr/>
        <w:t xml:space="preserve">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27 days, 20 days, and six</w:t>
      </w:r>
      <w:r>
        <w:rPr/>
        <w:t xml:space="preserve"> days before the election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27th day, the 20th day, and the sixth</w:t>
      </w:r>
      <w:r>
        <w:rPr/>
        <w:t xml:space="preserve"> day preceding the date on which the election is held;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2010 c 204 s 809 are each amended to read as follows:</w:t>
      </w:r>
    </w:p>
    <w:p>
      <w:pPr>
        <w:spacing w:before="0" w:after="0" w:line="408" w:lineRule="exact"/>
        <w:ind w:left="0" w:right="0" w:firstLine="576"/>
        <w:jc w:val="left"/>
      </w:pPr>
      <w:r>
        <w:rPr/>
        <w:t xml:space="preserve">(1) Any person who has made expenditures, not reported by a registered lobbyist under RCW 42.17A.615 or by a candidate or political committee under RCW 42.17A.225 or 42.17A.235, exceeding one thousand dollars in the aggregate within any three-month period or exceeding five hundred dollars in the aggregate within any one-month period in presenting a </w:t>
      </w:r>
      <w:r>
        <w:t>((</w:t>
      </w:r>
      <w:r>
        <w:rPr>
          <w:strike/>
        </w:rPr>
        <w:t xml:space="preserve">program</w:t>
      </w:r>
      <w:r>
        <w:t>))</w:t>
      </w:r>
      <w:r>
        <w:rPr/>
        <w:t xml:space="preserve"> </w:t>
      </w:r>
      <w:r>
        <w:rPr>
          <w:u w:val="single"/>
        </w:rPr>
        <w:t xml:space="preserve">campaign</w:t>
      </w:r>
      <w:r>
        <w:rPr/>
        <w:t xml:space="preserve"> to the public, a substantial portion of which is intended, designed, or calculated primarily to </w:t>
      </w:r>
      <w:r>
        <w:rPr>
          <w:u w:val="single"/>
        </w:rPr>
        <w:t xml:space="preserve">solicit, urge, or encourage the public to</w:t>
      </w:r>
      <w:r>
        <w:rPr/>
        <w:t xml:space="preserve"> influence legislation</w:t>
      </w:r>
      <w:r>
        <w:rPr>
          <w:u w:val="single"/>
        </w:rPr>
        <w:t xml:space="preserve">,</w:t>
      </w:r>
      <w:r>
        <w:rPr/>
        <w:t xml:space="preserve"> shall register and report, as provided in subsection (2) of this section, as a sponsor of a grass roots lobbying campaign.</w:t>
      </w:r>
    </w:p>
    <w:p>
      <w:pPr>
        <w:spacing w:before="0" w:after="0" w:line="408" w:lineRule="exact"/>
        <w:ind w:left="0" w:right="0" w:firstLine="576"/>
        <w:jc w:val="left"/>
      </w:pPr>
      <w:r>
        <w:rPr/>
        <w:t xml:space="preserve">(2) </w:t>
      </w:r>
      <w:r>
        <w:t>((</w:t>
      </w:r>
      <w:r>
        <w:rPr>
          <w:strike/>
        </w:rPr>
        <w:t xml:space="preserve">Within thirty days after becoming a sponsor of a grass roots lobbying campaign, the</w:t>
      </w:r>
      <w:r>
        <w:t>))</w:t>
      </w:r>
      <w:r>
        <w:rPr/>
        <w:t xml:space="preserve"> </w:t>
      </w:r>
      <w:r>
        <w:rPr>
          <w:u w:val="single"/>
        </w:rPr>
        <w:t xml:space="preserve">(a) The</w:t>
      </w:r>
      <w:r>
        <w:rPr/>
        <w:t xml:space="preserve"> sponsor shall register by filing with the commission a registration statement</w:t>
      </w:r>
      <w:r>
        <w:rPr>
          <w:u w:val="single"/>
        </w:rPr>
        <w:t xml:space="preserve">:</w:t>
      </w:r>
    </w:p>
    <w:p>
      <w:pPr>
        <w:spacing w:before="0" w:after="0" w:line="408" w:lineRule="exact"/>
        <w:ind w:left="0" w:right="0" w:firstLine="576"/>
        <w:jc w:val="left"/>
      </w:pPr>
      <w:r>
        <w:rPr>
          <w:u w:val="single"/>
        </w:rPr>
        <w:t xml:space="preserve">(i) Within 24 hours of the initial presentation of the campaign to the public during the period:</w:t>
      </w:r>
    </w:p>
    <w:p>
      <w:pPr>
        <w:spacing w:before="0" w:after="0" w:line="408" w:lineRule="exact"/>
        <w:ind w:left="0" w:right="0" w:firstLine="576"/>
        <w:jc w:val="left"/>
      </w:pPr>
      <w:r>
        <w:rPr>
          <w:u w:val="single"/>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u w:val="single"/>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u w:val="single"/>
        </w:rPr>
        <w:t xml:space="preserve">(ii) Within five business days of the initial presentation of the campaign to the public during any other period.</w:t>
      </w:r>
    </w:p>
    <w:p>
      <w:pPr>
        <w:spacing w:before="0" w:after="0" w:line="408" w:lineRule="exact"/>
        <w:ind w:left="0" w:right="0" w:firstLine="576"/>
        <w:jc w:val="left"/>
      </w:pPr>
      <w:r>
        <w:rPr>
          <w:u w:val="single"/>
        </w:rPr>
        <w:t xml:space="preserve">(b) The registration must show</w:t>
      </w:r>
      <w:r>
        <w:rPr/>
        <w:t xml:space="preserve">, in such detail as the commission shall prescribe</w:t>
      </w:r>
      <w:r>
        <w:t>((</w:t>
      </w:r>
      <w:r>
        <w:rPr>
          <w:strike/>
        </w:rPr>
        <w:t xml:space="preserve">, showing</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sponsor's name, address, and business or occupation </w:t>
      </w:r>
      <w:r>
        <w:rPr>
          <w:u w:val="single"/>
        </w:rPr>
        <w:t xml:space="preserve">and employer</w:t>
      </w:r>
      <w:r>
        <w:rPr/>
        <w:t xml:space="preserve">, and, if the sponsor is not an individual, the names, addresses, and titles of the controlling persons responsible for managing the sponsor's affairs;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names, addresses, and business or occupation </w:t>
      </w:r>
      <w:r>
        <w:rPr>
          <w:u w:val="single"/>
        </w:rPr>
        <w:t xml:space="preserve">and employer</w:t>
      </w:r>
      <w:r>
        <w:rPr/>
        <w:t xml:space="preserve">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t>((</w:t>
      </w:r>
      <w:r>
        <w:rPr>
          <w:strike/>
        </w:rPr>
        <w:t xml:space="preserve">(c) The names and addresses of each person contributing twenty-five dollars or more to the campaign, and the aggregate amount contributed</w:t>
      </w:r>
      <w:r>
        <w:t>))</w:t>
      </w:r>
      <w:r>
        <w:rPr/>
        <w:t xml:space="preserve"> </w:t>
      </w:r>
      <w:r>
        <w:rPr>
          <w:u w:val="single"/>
        </w:rPr>
        <w:t xml:space="preserve">(iii) Each source of funding for the campaign of $25 or more, including:</w:t>
      </w:r>
    </w:p>
    <w:p>
      <w:pPr>
        <w:spacing w:before="0" w:after="0" w:line="408" w:lineRule="exact"/>
        <w:ind w:left="0" w:right="0" w:firstLine="576"/>
        <w:jc w:val="left"/>
      </w:pPr>
      <w:r>
        <w:rPr>
          <w:u w:val="single"/>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u w:val="single"/>
        </w:rPr>
        <w:t xml:space="preserve">(B) Special solicitations and other funds. The name, address, and, for individuals, occupation and employer, of a person whose funds were used to pay for the campaign, along with the amount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purpose of the campaign, including the specific legislation, rules, rates, standards, or proposals that are the subject matter of the campaign;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w:t>
      </w:r>
      <w:r>
        <w:rPr>
          <w:u w:val="single"/>
        </w:rPr>
        <w:t xml:space="preserve">; and</w:t>
      </w:r>
    </w:p>
    <w:p>
      <w:pPr>
        <w:spacing w:before="0" w:after="0" w:line="408" w:lineRule="exact"/>
        <w:ind w:left="0" w:right="0" w:firstLine="576"/>
        <w:jc w:val="left"/>
      </w:pPr>
      <w:r>
        <w:rPr>
          <w:u w:val="single"/>
        </w:rPr>
        <w:t xml:space="preserve">(vi) Such other information as shall be required by the commission by rule in conformance with the policies and purposes of this chapter</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tenth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u w:val="single"/>
        </w:rPr>
        <w:t xml:space="preserve">(5)(a) Any advertising or other mass communication produced as part of a campaign must include the following disclosures:</w:t>
      </w:r>
    </w:p>
    <w:p>
      <w:pPr>
        <w:spacing w:before="0" w:after="0" w:line="408" w:lineRule="exact"/>
        <w:ind w:left="0" w:right="0" w:firstLine="576"/>
        <w:jc w:val="left"/>
      </w:pPr>
      <w:r>
        <w:rPr>
          <w:u w:val="single"/>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u w:val="single"/>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u w:val="single"/>
        </w:rPr>
        <w:t xml:space="preserve">(iii) If the communication costs $1,000 or more, the communication must include:</w:t>
      </w:r>
    </w:p>
    <w:p>
      <w:pPr>
        <w:spacing w:before="0" w:after="0" w:line="408" w:lineRule="exact"/>
        <w:ind w:left="0" w:right="0" w:firstLine="576"/>
        <w:jc w:val="left"/>
      </w:pPr>
      <w:r>
        <w:rPr>
          <w:u w:val="single"/>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u w:val="single"/>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w:t>
      </w:r>
    </w:p>
    <w:p>
      <w:pPr>
        <w:spacing w:before="0" w:after="0" w:line="408" w:lineRule="exact"/>
        <w:ind w:left="0" w:right="0" w:firstLine="576"/>
        <w:jc w:val="left"/>
      </w:pPr>
      <w:r>
        <w:rPr>
          <w:u w:val="single"/>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u w:val="single"/>
        </w:rPr>
        <w:t xml:space="preserve">(i) In a written communication:</w:t>
      </w:r>
    </w:p>
    <w:p>
      <w:pPr>
        <w:spacing w:before="0" w:after="0" w:line="408" w:lineRule="exact"/>
        <w:ind w:left="0" w:right="0" w:firstLine="576"/>
        <w:jc w:val="left"/>
      </w:pPr>
      <w:r>
        <w:rPr>
          <w:u w:val="single"/>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u w:val="single"/>
        </w:rPr>
        <w:t xml:space="preserve">(B) Not be subject to the half-tone or screening process; and</w:t>
      </w:r>
    </w:p>
    <w:p>
      <w:pPr>
        <w:spacing w:before="0" w:after="0" w:line="408" w:lineRule="exact"/>
        <w:ind w:left="0" w:right="0" w:firstLine="576"/>
        <w:jc w:val="left"/>
      </w:pPr>
      <w:r>
        <w:rPr>
          <w:u w:val="single"/>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u w:val="single"/>
        </w:rPr>
        <w:t xml:space="preserve">(ii) In a communication transmitted via television or another medium that includes a visual image or audio:</w:t>
      </w:r>
    </w:p>
    <w:p>
      <w:pPr>
        <w:spacing w:before="0" w:after="0" w:line="408" w:lineRule="exact"/>
        <w:ind w:left="0" w:right="0" w:firstLine="576"/>
        <w:jc w:val="left"/>
      </w:pPr>
      <w:r>
        <w:rPr>
          <w:u w:val="single"/>
        </w:rPr>
        <w:t xml:space="preserve">(A) Be clearly spoken; or</w:t>
      </w:r>
    </w:p>
    <w:p>
      <w:pPr>
        <w:spacing w:before="0" w:after="0" w:line="408" w:lineRule="exact"/>
        <w:ind w:left="0" w:right="0" w:firstLine="576"/>
        <w:jc w:val="left"/>
      </w:pPr>
      <w:r>
        <w:rPr>
          <w:u w:val="single"/>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u w:val="single"/>
        </w:rPr>
        <w:t xml:space="preserve">(6) The commission is authorized to adopt rules, as needed, to prevent ways to circumvent the purposes of the required disclosures in this section or otherwise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w:t>
      </w:r>
      <w:r>
        <w:t>((</w:t>
      </w:r>
      <w:r>
        <w:rPr>
          <w:strike/>
        </w:rPr>
        <w:t xml:space="preserve">state treasury</w:t>
      </w:r>
      <w:r>
        <w:t>))</w:t>
      </w:r>
      <w:r>
        <w:rPr/>
        <w:t xml:space="preserve"> </w:t>
      </w:r>
      <w:r>
        <w:rPr>
          <w:u w:val="single"/>
        </w:rPr>
        <w:t xml:space="preserve">custody of the state treasurer</w:t>
      </w:r>
      <w:r>
        <w:rPr/>
        <w:t xml:space="preserve">.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71952ac1153f4e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274fd81774fea" /><Relationship Type="http://schemas.openxmlformats.org/officeDocument/2006/relationships/footer" Target="/word/footer1.xml" Id="R71952ac1153f4e7a" /></Relationships>
</file>