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b90884a2fe4b86" /></Relationships>
</file>

<file path=word/document.xml><?xml version="1.0" encoding="utf-8"?>
<w:document xmlns:w="http://schemas.openxmlformats.org/wordprocessingml/2006/main">
  <w:body>
    <w:p>
      <w:r>
        <w:t>S-1375.1</w:t>
      </w:r>
    </w:p>
    <w:p>
      <w:pPr>
        <w:jc w:val="center"/>
      </w:pPr>
      <w:r>
        <w:t>_______________________________________________</w:t>
      </w:r>
    </w:p>
    <w:p/>
    <w:p>
      <w:pPr>
        <w:jc w:val="center"/>
      </w:pPr>
      <w:r>
        <w:rPr>
          <w:b/>
        </w:rPr>
        <w:t>SUBSTITUTE SENATE BILL 5290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Mullet, Kuderer, Fortunato, Liias, Nobles, Saldaña, and C. Wilson; by request of Office of the Governor)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local permit review processes; amending RCW 36.70B.140, 36.70B.020, 36.70B.070, 36.70B.080, and 36.70B.160; adding new sections to chapter 36.70B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timelines for approval which are</w:t>
      </w:r>
      <w:r>
        <w:rPr/>
        <w:t xml:space="preserve">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Nothing in this section exempts interior alterations from otherwise applicable building, plumbing, mechanical, or electrical codes.</w:t>
      </w:r>
    </w:p>
    <w:p>
      <w:pPr>
        <w:spacing w:before="0" w:after="0" w:line="408" w:lineRule="exact"/>
        <w:ind w:left="0" w:right="0" w:firstLine="576"/>
        <w:jc w:val="left"/>
      </w:pPr>
      <w:r>
        <w:rPr>
          <w:u w:val="single"/>
        </w:rPr>
        <w:t xml:space="preserve">(5)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frame,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timeline specified in subsection (1)(b) of this section.</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capacity for video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 including impacts on existing digital permitting systems that are already in place;</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w:t>
      </w:r>
      <w:r>
        <w:t>((</w:t>
      </w:r>
      <w:r>
        <w:rPr>
          <w:strike/>
        </w:rPr>
        <w:t xml:space="preserve">authorized by a comprehensive plan or subarea plan</w:t>
      </w:r>
      <w:r>
        <w:t>))</w:t>
      </w:r>
      <w:r>
        <w:rPr/>
        <w:t xml:space="preserve"> </w:t>
      </w:r>
      <w:r>
        <w:rPr>
          <w:u w:val="single"/>
        </w:rPr>
        <w:t xml:space="preserve">which do not require a comprehensive plan amendment</w:t>
      </w:r>
      <w:r>
        <w:rPr/>
        <w:t xml:space="preserve">,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twenty-eight</w:t>
      </w:r>
      <w:r>
        <w:t>))</w:t>
      </w:r>
      <w:r>
        <w:rPr/>
        <w:t xml:space="preserve"> </w:t>
      </w:r>
      <w:r>
        <w:rPr>
          <w:u w:val="single"/>
        </w:rPr>
        <w:t xml:space="preserve">20</w:t>
      </w:r>
      <w:r>
        <w:rPr/>
        <w:t xml:space="preserve"> days after receiving a project permit application,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w:t>
      </w:r>
      <w:r>
        <w:t>((</w:t>
      </w:r>
      <w:r>
        <w:rPr>
          <w:strike/>
        </w:rPr>
        <w:t xml:space="preserve">, stating</w:t>
      </w:r>
      <w:r>
        <w:t>))</w:t>
      </w:r>
      <w:r>
        <w:rPr>
          <w:u w:val="single"/>
        </w:rPr>
        <w:t xml:space="preserve">.</w:t>
      </w:r>
    </w:p>
    <w:p>
      <w:pPr>
        <w:spacing w:before="0" w:after="0" w:line="408" w:lineRule="exact"/>
        <w:ind w:left="0" w:right="0" w:firstLine="576"/>
        <w:jc w:val="left"/>
      </w:pPr>
      <w:r>
        <w:rPr>
          <w:u w:val="single"/>
        </w:rPr>
        <w:t xml:space="preserve">(b) The written determination must state</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and </w:t>
      </w:r>
      <w:r>
        <w:rPr>
          <w:u w:val="single"/>
        </w:rPr>
        <w:t xml:space="preserve">that the procedural submission requirements of the local government have not been met. The determination shall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(c) The number of days shall be calculated by counting five days per week, excluding holidays.</w:t>
      </w:r>
    </w:p>
    <w:p>
      <w:pPr>
        <w:spacing w:before="0" w:after="0" w:line="408" w:lineRule="exact"/>
        <w:ind w:left="0" w:right="0" w:firstLine="576"/>
        <w:jc w:val="left"/>
      </w:pPr>
      <w:r>
        <w:rPr>
          <w:u w:val="single"/>
        </w:rPr>
        <w:t xml:space="preserve">(d)</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 may be required or project modifications may be undertaken subsequently</w:t>
      </w:r>
      <w:r>
        <w:t>))</w:t>
      </w:r>
      <w:r>
        <w:rPr>
          <w:u w:val="single"/>
        </w:rPr>
        <w:t xml:space="preserve">, as outlined on the project permit application. Additional information or studies may be required or project modifications may be undertaken 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may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36.70B.110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receiving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(1)(b)</w:t>
      </w:r>
      <w:r>
        <w:rPr>
          <w:u w:val="single"/>
        </w:rPr>
        <w:t xml:space="preserve">(ii)</w:t>
      </w:r>
      <w:r>
        <w:rPr/>
        <w:t xml:space="preserve"> of this section. </w:t>
      </w:r>
      <w:r>
        <w:rPr>
          <w:u w:val="single"/>
        </w:rPr>
        <w:t xml:space="preserve">When the local government does not provide a written determination, they may still seek additional information or studies as provided for in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shall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rPr>
          <w:u w:val="single"/>
        </w:rPr>
        <w:t xml:space="preserve">(b)</w:t>
      </w:r>
      <w:r>
        <w:rPr/>
        <w:t xml:space="preserve"> 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 jurisdiction may exclude certain permit types and timelines for processing project permit applications as provided for in RCW 36.70B.140.</w:t>
      </w:r>
    </w:p>
    <w:p>
      <w:pPr>
        <w:spacing w:before="0" w:after="0" w:line="408" w:lineRule="exact"/>
        <w:ind w:left="0" w:right="0" w:firstLine="576"/>
        <w:jc w:val="left"/>
      </w:pPr>
      <w:r>
        <w:rPr>
          <w:u w:val="single"/>
        </w:rPr>
        <w:t xml:space="preserve">(d) The time periods for local government action to issue a final decision for each type of complete project permit application or project type subject to this chapter should not exceed the following time frames unless modified by the local government pursuant to this section or RCW 36.70B.140.</w:t>
      </w:r>
    </w:p>
    <w:tbl>
      <w:tblPr>
        <w:tblW w:w="0" w:type="auto"/>
        <w:jc w:val="center"/>
        <w:tcMar>
          <w:tblCellMar>
            <w:top w:w="0" w:type="dxa"/>
          </w:tblCellMar>
        </w:tcMar>
        <w:tcMar>
          <w:tblCellMar>
            <w:left w:w="70" w:type="dxa"/>
            <w:right w:w="70" w:type="dxa"/>
          </w:tblCellMar>
        </w:tcMar>
      </w:tblPr>
      <w:tblGrid>
        <w:gridCol w:w="4240"/>
        <w:gridCol w:w="1800"/>
        <w:gridCol w:w="1920"/>
        <w:gridCol w:w="2200"/>
      </w:tblGrid>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 days</w:t>
            </w: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 days</w:t>
            </w: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 days</w:t>
            </w: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do not require public notice</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require public notice</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require public notice and a public</w:t>
            </w:r>
          </w:p>
          <w:p>
            <w:pPr>
              <w:spacing w:before="0" w:after="0" w:line="408" w:lineRule="exact"/>
              <w:ind w:left="0" w:right="0" w:firstLine="180"/>
              <w:jc w:val="left"/>
            </w:pPr>
            <w:r>
              <w:rPr>
                <w:rFonts w:ascii="Times New Roman" w:hAnsi="Times New Roman"/>
                <w:sz w:val="20"/>
                <w:u w:val="single"/>
              </w:rPr>
              <w:t xml:space="preserve">hearing</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r>
    </w:tbl>
    <w:p>
      <w:pPr>
        <w:spacing w:before="0" w:after="0" w:line="408" w:lineRule="exact"/>
        <w:ind w:left="0" w:right="0" w:firstLine="576"/>
        <w:jc w:val="left"/>
      </w:pPr>
      <w:r>
        <w:rPr>
          <w:u w:val="single"/>
        </w:rPr>
        <w:t xml:space="preserve">(e) A jurisdiction may modify the table in (d) of this subsection to add permit types not identified, change the permit names or types in each category, address how consolidated review time frames may be different than permits submitted individually, and that projects of a certain size or type may be differentiated. Unless otherwise provided for the consolidated review of more than one permit, the time frame for a final decision shall be the longest of the permit timelines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timelines in the table shall be applied.</w:t>
      </w:r>
    </w:p>
    <w:p>
      <w:pPr>
        <w:spacing w:before="0" w:after="0" w:line="408" w:lineRule="exact"/>
        <w:ind w:left="0" w:right="0" w:firstLine="576"/>
        <w:jc w:val="left"/>
      </w:pPr>
      <w:r>
        <w:rPr>
          <w:u w:val="single"/>
        </w:rPr>
        <w:t xml:space="preserve">(g) The total number of days the application is in review with the county or city shall be calculated from the day completeness is determined under RCW 36.70B.070 to the date a final decision is issued on the project permit application. The number of days shall be calculated by counting five days per week, excluding holidays. The days the application is in review with the county or city does not include time periods between where the county or city has notified the applicant, in writing, that additional information is required to further process the application and the day when responsive information is resubmitted by the applicant. Time periods shall also be stopped when an applicant informs the local government, in writing, that they would like to temporarily suspend review of the project permit application.</w:t>
      </w:r>
    </w:p>
    <w:p>
      <w:pPr>
        <w:spacing w:before="0" w:after="0" w:line="408" w:lineRule="exact"/>
        <w:ind w:left="0" w:right="0" w:firstLine="576"/>
        <w:jc w:val="left"/>
      </w:pPr>
      <w:r>
        <w:rPr>
          <w:u w:val="single"/>
        </w:rPr>
        <w:t xml:space="preserve">(h) Time periods for local government actions for each type of complete project permit application is stopped when an administrative appeal is filed that extends the time period to issue a final decision.</w:t>
      </w:r>
    </w:p>
    <w:p>
      <w:pPr>
        <w:spacing w:before="0" w:after="0" w:line="408" w:lineRule="exact"/>
        <w:ind w:left="0" w:right="0" w:firstLine="576"/>
        <w:jc w:val="left"/>
      </w:pPr>
      <w:r>
        <w:rPr>
          <w:u w:val="single"/>
        </w:rPr>
        <w:t xml:space="preserve">(i) Annual amendments to the comprehensive plan are not subject to the requirements of this section.</w:t>
      </w:r>
    </w:p>
    <w:p>
      <w:pPr>
        <w:spacing w:before="0" w:after="0" w:line="408" w:lineRule="exact"/>
        <w:ind w:left="0" w:right="0" w:firstLine="576"/>
        <w:jc w:val="left"/>
      </w:pPr>
      <w:r>
        <w:rPr>
          <w:u w:val="single"/>
        </w:rPr>
        <w:t xml:space="preserve">(j) Adopting a resolution or ordinance to implement this subsection shall not be subject to appeal unless the table in (d) of this subsection is modified to include a permit type for which more than 120 days is provided for.</w:t>
      </w:r>
    </w:p>
    <w:p>
      <w:pPr>
        <w:spacing w:before="0" w:after="0" w:line="408" w:lineRule="exact"/>
        <w:ind w:left="0" w:right="0" w:firstLine="576"/>
        <w:jc w:val="left"/>
      </w:pPr>
      <w:r>
        <w:rPr>
          <w:u w:val="single"/>
        </w:rPr>
        <w:t xml:space="preserve">(2)</w:t>
      </w:r>
      <w:r>
        <w:rPr/>
        <w:t xml:space="preserve">(a)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strike/>
        </w:rPr>
        <w:t xml:space="preserve">(3)</w:t>
      </w:r>
      <w:r>
        <w:t>))</w:t>
      </w:r>
      <w:r>
        <w:rPr/>
        <w:t xml:space="preserve"> </w:t>
      </w:r>
      <w:r>
        <w:rPr>
          <w:u w:val="single"/>
        </w:rPr>
        <w:t xml:space="preserve">includes information outlining time frames for certain permit types associated with housing. The information collected is not intended to demonstrate the total time for a project to receive construction approval from a city or county. It will, however, provide:</w:t>
      </w:r>
    </w:p>
    <w:p>
      <w:pPr>
        <w:spacing w:before="0" w:after="0" w:line="408" w:lineRule="exact"/>
        <w:ind w:left="0" w:right="0" w:firstLine="576"/>
        <w:jc w:val="left"/>
      </w:pPr>
      <w:r>
        <w:rPr>
          <w:u w:val="single"/>
        </w:rPr>
        <w:t xml:space="preserve">(i) Permit time frames for certain permit processes in counties and cities in relation to those established under this section;</w:t>
      </w:r>
    </w:p>
    <w:p>
      <w:pPr>
        <w:spacing w:before="0" w:after="0" w:line="408" w:lineRule="exact"/>
        <w:ind w:left="0" w:right="0" w:firstLine="576"/>
        <w:jc w:val="left"/>
      </w:pPr>
      <w:r>
        <w:rPr>
          <w:u w:val="single"/>
        </w:rPr>
        <w:t xml:space="preserve">(ii) Ongoing information to those submitting permits, local governments, and the state regarding permit time frames associated with permit processes for housing;</w:t>
      </w:r>
    </w:p>
    <w:p>
      <w:pPr>
        <w:spacing w:before="0" w:after="0" w:line="408" w:lineRule="exact"/>
        <w:ind w:left="0" w:right="0" w:firstLine="576"/>
        <w:jc w:val="left"/>
      </w:pPr>
      <w:r>
        <w:rPr>
          <w:u w:val="single"/>
        </w:rPr>
        <w:t xml:space="preserve">(iii)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(iv)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(v) The total number of days from a submittal to a decision being issued. This shall be calculated from the day completeness is determined under RCW 36.70B.070 to the date a decision is issued on the application. The number of days shall be calculated by counting five days per week, excluding holidays;</w:t>
      </w:r>
    </w:p>
    <w:p>
      <w:pPr>
        <w:spacing w:before="0" w:after="0" w:line="408" w:lineRule="exact"/>
        <w:ind w:left="0" w:right="0" w:firstLine="576"/>
        <w:jc w:val="left"/>
      </w:pPr>
      <w:r>
        <w:rPr>
          <w:u w:val="single"/>
        </w:rPr>
        <w:t xml:space="preserve">(vi) The total number of days the application was in review with the county or city. This shall be calculated from the day completeness is determined under RCW 36.70B.070 to the date a final decision is issued on the application. The number of days shall be calculated by counting five days per week, excluding holidays. The days the application is in review with the county or city does not include time periods between where the county or city has notified the applicant, in writing, that additional information is required to further process the application and when that information is submitted by the applicant. Time periods shall also be stopped when an applicant informs the local government, in writing, that they would like to temporarily suspend review of the project permit application; and</w:t>
      </w:r>
    </w:p>
    <w:p>
      <w:pPr>
        <w:spacing w:before="0" w:after="0" w:line="408" w:lineRule="exact"/>
        <w:ind w:left="0" w:right="0" w:firstLine="576"/>
        <w:jc w:val="left"/>
      </w:pPr>
      <w:r>
        <w:rPr>
          <w:u w:val="single"/>
        </w:rPr>
        <w:t xml:space="preserve">(vii) The total number of days the permit is the responsibility of the applicant, including days the county or city is waiting for additional information.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county's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(d)(i) No later than July 1st each year, the department of commerce shall publish a report, which includes the annual performance report data for each county and city subject to the requirements of this subsection, and a list of those counties and cities whose time frames are shorter than established under this section in order that best practices can be gleaned from those counties and cities.</w:t>
      </w:r>
    </w:p>
    <w:p>
      <w:pPr>
        <w:spacing w:before="0" w:after="0" w:line="408" w:lineRule="exact"/>
        <w:ind w:left="0" w:right="0" w:firstLine="576"/>
        <w:jc w:val="left"/>
      </w:pPr>
      <w:r>
        <w:rPr>
          <w:u w:val="single"/>
        </w:rPr>
        <w:t xml:space="preserve">(ii) The annual report published by the department of commerce shall also include key metrics and findings from the information collected.</w:t>
      </w:r>
    </w:p>
    <w:p>
      <w:pPr>
        <w:spacing w:before="0" w:after="0" w:line="408" w:lineRule="exact"/>
        <w:ind w:left="0" w:right="0" w:firstLine="576"/>
        <w:jc w:val="left"/>
      </w:pPr>
      <w:r>
        <w:rPr>
          <w:u w:val="single"/>
        </w:rPr>
        <w:t xml:space="preserve">(e) Annual reports must be submitted to the department of commerce beginning in 2025.</w:t>
      </w:r>
    </w:p>
    <w:p>
      <w:pPr>
        <w:spacing w:before="0" w:after="0" w:line="408" w:lineRule="exact"/>
        <w:ind w:left="0" w:right="0" w:firstLine="576"/>
        <w:jc w:val="left"/>
      </w:pPr>
      <w:r>
        <w:rPr>
          <w:u w:val="single"/>
        </w:rPr>
        <w:t xml:space="preserve">(3)</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 including expedited review for project permit applications for projects that are consistent with adopted development regulations </w:t>
      </w:r>
      <w:r>
        <w:t>((</w:t>
      </w:r>
      <w:r>
        <w:rPr>
          <w:strike/>
        </w:rPr>
        <w:t xml:space="preserve">and within the capacity of systemwide infrastructure improvements</w:t>
      </w:r>
      <w:r>
        <w:t>))</w:t>
      </w:r>
      <w:r>
        <w:rPr>
          <w:u w:val="single"/>
        </w:rPr>
        <w:t xml:space="preserve">, including:</w:t>
      </w:r>
    </w:p>
    <w:p>
      <w:pPr>
        <w:spacing w:before="0" w:after="0" w:line="408" w:lineRule="exact"/>
        <w:ind w:left="0" w:right="0" w:firstLine="576"/>
        <w:jc w:val="left"/>
      </w:pPr>
      <w:r>
        <w:rPr>
          <w:u w:val="single"/>
        </w:rPr>
        <w:t xml:space="preserve">(a) Collect reasonable fees, consistent with RCW 82.02.020,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2024, RCW 35.91.020. The cost of reasonable fees to process administrative appeals is not included in this provision;</w:t>
      </w:r>
    </w:p>
    <w:p>
      <w:pPr>
        <w:spacing w:before="0" w:after="0" w:line="408" w:lineRule="exact"/>
        <w:ind w:left="0" w:right="0" w:firstLine="576"/>
        <w:jc w:val="left"/>
      </w:pPr>
      <w:r>
        <w:rPr>
          <w:u w:val="single"/>
        </w:rPr>
        <w:t xml:space="preserve">(b) Enter into an interlocal agreement with another jurisdiction to share permitting staff and resources;</w:t>
      </w:r>
    </w:p>
    <w:p>
      <w:pPr>
        <w:spacing w:before="0" w:after="0" w:line="408" w:lineRule="exact"/>
        <w:ind w:left="0" w:right="0" w:firstLine="576"/>
        <w:jc w:val="left"/>
      </w:pPr>
      <w:r>
        <w:rPr>
          <w:u w:val="single"/>
        </w:rPr>
        <w:t xml:space="preserve">(c) Have on-call permitting assistance in place and budgeted for when permit volumes or staffing levels change rapidly;</w:t>
      </w:r>
    </w:p>
    <w:p>
      <w:pPr>
        <w:spacing w:before="0" w:after="0" w:line="408" w:lineRule="exact"/>
        <w:ind w:left="0" w:right="0" w:firstLine="576"/>
        <w:jc w:val="left"/>
      </w:pPr>
      <w:r>
        <w:rPr>
          <w:u w:val="single"/>
        </w:rPr>
        <w:t xml:space="preserve">(d) Have new positions budgeted that are contingent on increased permit revenue;</w:t>
      </w:r>
    </w:p>
    <w:p>
      <w:pPr>
        <w:spacing w:before="0" w:after="0" w:line="408" w:lineRule="exact"/>
        <w:ind w:left="0" w:right="0" w:firstLine="576"/>
        <w:jc w:val="left"/>
      </w:pPr>
      <w:r>
        <w:rPr>
          <w:u w:val="single"/>
        </w:rPr>
        <w:t xml:space="preserve">(e) Adopt development regulations which only require public hearings for permit applications required to have a public hearing by statute;</w:t>
      </w:r>
    </w:p>
    <w:p>
      <w:pPr>
        <w:spacing w:before="0" w:after="0" w:line="408" w:lineRule="exact"/>
        <w:ind w:left="0" w:right="0" w:firstLine="576"/>
        <w:jc w:val="left"/>
      </w:pPr>
      <w:r>
        <w:rPr>
          <w:u w:val="single"/>
        </w:rPr>
        <w:t xml:space="preserve">(f) Adopt development regulations which make preapplications meetings optional rather than a requirement of permit application submittal;</w:t>
      </w:r>
    </w:p>
    <w:p>
      <w:pPr>
        <w:spacing w:before="0" w:after="0" w:line="408" w:lineRule="exact"/>
        <w:ind w:left="0" w:right="0" w:firstLine="576"/>
        <w:jc w:val="left"/>
      </w:pPr>
      <w:r>
        <w:rPr>
          <w:u w:val="single"/>
        </w:rPr>
        <w:t xml:space="preserve">(g) Adopt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(h) Adopt a program to allow for outside professionals with appropriate professional licenses to certify components of applications consistent with their license; and</w:t>
      </w:r>
    </w:p>
    <w:p>
      <w:pPr>
        <w:spacing w:before="0" w:after="0" w:line="408" w:lineRule="exact"/>
        <w:ind w:left="0" w:right="0" w:firstLine="576"/>
        <w:jc w:val="left"/>
      </w:pPr>
      <w:r>
        <w:rPr>
          <w:u w:val="single"/>
        </w:rPr>
        <w:t xml:space="preserve">(i) Offer a meeting with the applicant to attempt to resolve outstanding issues during the review process. The meeting shall be scheduled within 14 days of a second request for corrections during permit review. If the meeting cannot resolve the issues and a local government proceeds with a third request for additional information or corrections, the local government shall approve or deny the application.</w:t>
      </w:r>
    </w:p>
    <w:p>
      <w:pPr>
        <w:spacing w:before="0" w:after="0" w:line="408" w:lineRule="exact"/>
        <w:ind w:left="0" w:right="0" w:firstLine="576"/>
        <w:jc w:val="left"/>
      </w:pPr>
      <w:r>
        <w:rPr>
          <w:u w:val="single"/>
        </w:rPr>
        <w:t xml:space="preserve">(2) Where measures in subsection (1) of this section have been taken and permit timelines are not meeting those established in RCW 36.70B.080 at least 50 percent of the time, the city or county shall, as part of the periodic update established in RCW 36.70A.130, adopt new measures aimed at reducing permit timelines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(6) Technical assistance from the department of commerce should focus on local governments that have implemented at least three of the options in subsection (1) of this section.</w:t>
      </w:r>
    </w:p>
    <w:p>
      <w:pPr>
        <w:spacing w:before="0" w:after="0" w:line="408" w:lineRule="exact"/>
        <w:ind w:left="0" w:right="0" w:firstLine="576"/>
        <w:jc w:val="left"/>
      </w:pPr>
      <w:r>
        <w:rPr>
          <w:u w:val="single"/>
        </w:rPr>
        <w:t xml:space="preserve">(7) Technical assistance from the department of commerce must include guidance to assist local governments in setting appropriate fee structures to ensure that fees under subsection (1)(a) of this section are both reasonable and sufficient to recover true costs, including guidance on appropriate growth factors or other measures to reflect cost increases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template for counties and cities subject to the requirements in RCW 36.70B.080, which will be utilized for reporting data. Counties and cities subject to the requirements in RCW 36.70B.080 must begin collecting data consistent with this section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
      <w:pPr>
        <w:jc w:val="center"/>
      </w:pPr>
      <w:r>
        <w:rPr>
          <w:b/>
        </w:rPr>
        <w:t>--- END ---</w:t>
      </w:r>
    </w:p>
    <w:sectPr>
      <w:pgNumType w:start="1"/>
      <w:footerReference xmlns:r="http://schemas.openxmlformats.org/officeDocument/2006/relationships" r:id="R7a22a57ab3a847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40f7321db448c" /><Relationship Type="http://schemas.openxmlformats.org/officeDocument/2006/relationships/footer" Target="/word/footer1.xml" Id="R7a22a57ab3a84715" /></Relationships>
</file>