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8cb9df99bc4aa2" /></Relationships>
</file>

<file path=word/document.xml><?xml version="1.0" encoding="utf-8"?>
<w:document xmlns:w="http://schemas.openxmlformats.org/wordprocessingml/2006/main">
  <w:body>
    <w:p>
      <w:r>
        <w:t>S-1379.3</w:t>
      </w:r>
    </w:p>
    <w:p>
      <w:pPr>
        <w:jc w:val="center"/>
      </w:pPr>
      <w:r>
        <w:t>_______________________________________________</w:t>
      </w:r>
    </w:p>
    <w:p/>
    <w:p>
      <w:pPr>
        <w:jc w:val="center"/>
      </w:pPr>
      <w:r>
        <w:rPr>
          <w:b/>
        </w:rPr>
        <w:t>SUBSTITUTE SENATE BILL 5291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Schoesler, Dozier, Mullet, King, Wagoner, Liias, and Rolfes)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timely issuance of certain liquor licenses, renewals, and endorsements; and amending RCW 66.24.010.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2019 c 370 s 1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For the original issuance of a liquor license, including the approval of a conditional license as provided in (b) of this subsection, the board must 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w:t>
      </w:r>
      <w:r>
        <w:t>((</w:t>
      </w:r>
      <w:r>
        <w:rPr>
          <w:strike/>
        </w:rPr>
        <w:t xml:space="preserve">, with receipt verification,</w:t>
      </w:r>
      <w:r>
        <w:t>))</w:t>
      </w:r>
      <w:r>
        <w:rPr/>
        <w:t xml:space="preserve">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(13)(a) Except as provided in (b) of this subsection, the board must issue a decision on an application for a liquor license, renewal, or endorsement under RCW 66.24.320 through 66.24.354, 66.24.400 through 66.24.480, 66.24.650, or 66.24.655 within 45 days of receiving the application and documentation under subsection (6) of this section and related rules, or the application is approved by default.</w:t>
      </w:r>
    </w:p>
    <w:p>
      <w:pPr>
        <w:spacing w:before="0" w:after="0" w:line="408" w:lineRule="exact"/>
        <w:ind w:left="0" w:right="0" w:firstLine="576"/>
        <w:jc w:val="left"/>
      </w:pPr>
      <w:r>
        <w:rPr>
          <w:u w:val="single"/>
        </w:rPr>
        <w:t xml:space="preserve">(b) The board may extend the time period allowed in (a) of this subsection by an additional 30 days if it:</w:t>
      </w:r>
    </w:p>
    <w:p>
      <w:pPr>
        <w:spacing w:before="0" w:after="0" w:line="408" w:lineRule="exact"/>
        <w:ind w:left="0" w:right="0" w:firstLine="576"/>
        <w:jc w:val="left"/>
      </w:pPr>
      <w:r>
        <w:rPr>
          <w:u w:val="single"/>
        </w:rPr>
        <w:t xml:space="preserve">(i) Determines good cause for the extension exists, which may include time for the board to review objections to a liquor license, renewal, or endorsement under this section; and</w:t>
      </w:r>
    </w:p>
    <w:p>
      <w:pPr>
        <w:spacing w:before="0" w:after="0" w:line="408" w:lineRule="exact"/>
        <w:ind w:left="0" w:right="0" w:firstLine="576"/>
        <w:jc w:val="left"/>
      </w:pPr>
      <w:r>
        <w:rPr>
          <w:u w:val="single"/>
        </w:rPr>
        <w:t xml:space="preserve">(ii) Issues a temporary license to the applicant during the extension.</w:t>
      </w:r>
    </w:p>
    <w:p>
      <w:pPr>
        <w:spacing w:before="0" w:after="0" w:line="408" w:lineRule="exact"/>
        <w:ind w:left="0" w:right="0" w:firstLine="576"/>
        <w:jc w:val="left"/>
      </w:pPr>
      <w:r>
        <w:rPr>
          <w:u w:val="single"/>
        </w:rPr>
        <w:t xml:space="preserve">(c) If the board fails to issue a decision on an application within the additional 30 days allowed in (b) of this subsection, the temporary license must be converted into a permanent license and is approved by default.</w:t>
      </w:r>
    </w:p>
    <w:p>
      <w:pPr>
        <w:spacing w:before="0" w:after="0" w:line="408" w:lineRule="exact"/>
        <w:ind w:left="0" w:right="0" w:firstLine="576"/>
        <w:jc w:val="left"/>
      </w:pPr>
      <w:r>
        <w:rPr>
          <w:u w:val="single"/>
        </w:rPr>
        <w:t xml:space="preserve">(14) Any notifications required under this section may be issued concurrently.</w:t>
      </w:r>
    </w:p>
    <w:p/>
    <w:p>
      <w:pPr>
        <w:jc w:val="center"/>
      </w:pPr>
      <w:r>
        <w:rPr>
          <w:b/>
        </w:rPr>
        <w:t>--- END ---</w:t>
      </w:r>
    </w:p>
    <w:sectPr>
      <w:pgNumType w:start="1"/>
      <w:footerReference xmlns:r="http://schemas.openxmlformats.org/officeDocument/2006/relationships" r:id="Rf20d58e3637f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1053e45854adf" /><Relationship Type="http://schemas.openxmlformats.org/officeDocument/2006/relationships/footer" Target="/word/footer1.xml" Id="Rf20d58e3637f4973" /></Relationships>
</file>