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3e48c878f401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Rolfes, Robinson, Kuderer, Nobles, and Van De Wege; by request of Office of Financial Management)</w:t>
      </w:r>
    </w:p>
    <w:p/>
    <w:p>
      <w:r>
        <w:rPr>
          <w:t xml:space="preserve">READ FIRST TIME 03/28/23.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43.41.450, 41.06.280, 41.06.285, 82.25.015, 41.05.120, 28A.505.130, 70A.65.250, 43.84.092, and 43.84.092; reenacting and amending RCW 43.79.567; reenacting RCW 43.330.365; adding new sections to chapter 43.79 RCW; adding a new section to chapter 38.52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w:t>
      </w:r>
      <w:r>
        <w:t>((</w:t>
      </w:r>
      <w:r>
        <w:rPr>
          <w:strike/>
        </w:rPr>
        <w:t xml:space="preserve">2017-2019 and</w:t>
      </w:r>
      <w:r>
        <w:t>))</w:t>
      </w:r>
      <w:r>
        <w:rPr/>
        <w:t xml:space="preserve"> 2021-2023 </w:t>
      </w:r>
      <w:r>
        <w:rPr>
          <w:u w:val="single"/>
        </w:rPr>
        <w:t xml:space="preserve">and 2023-2025</w:t>
      </w:r>
      <w:r>
        <w:rPr/>
        <w:t xml:space="preserve"> fiscal biennia,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accounting manual (SAAM)</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strike/>
        </w:rPr>
        <w:t xml:space="preserve">(4)</w:t>
      </w:r>
      <w:r>
        <w:t>))</w:t>
      </w:r>
      <w:r>
        <w:rPr/>
        <w:t xml:space="preserve">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t>((</w:t>
      </w:r>
      <w:r>
        <w:rPr>
          <w:strike/>
        </w:rPr>
        <w:t xml:space="preserve">(1) 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w:t>
      </w:r>
      <w:r>
        <w:t>((</w:t>
      </w:r>
      <w:r>
        <w:rPr>
          <w:strike/>
        </w:rPr>
        <w:t xml:space="preserve">Subject to the requirements of subsection (2) of this section, an</w:t>
      </w:r>
      <w:r>
        <w:t>))</w:t>
      </w:r>
      <w:r>
        <w:rPr/>
        <w:t xml:space="preserve"> </w:t>
      </w:r>
      <w:r>
        <w:rPr>
          <w:u w:val="single"/>
        </w:rPr>
        <w:t xml:space="preserve">An</w:t>
      </w:r>
      <w:r>
        <w:rPr/>
        <w:t xml:space="preserve">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t>((</w:t>
      </w:r>
      <w:r>
        <w:rPr>
          <w:strike/>
        </w:rPr>
        <w:t xml:space="preserve">(2) 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equity as a revolving fund for the payment of salaries, wages, and other costs required for the operation and maintenance of statewide equity functions, and the activities in the office of equity.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and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w:t>
      </w:r>
      <w:r>
        <w:t>((</w:t>
      </w:r>
      <w:r>
        <w:rPr>
          <w:strike/>
        </w:rPr>
        <w:t xml:space="preserve">and</w:t>
      </w:r>
      <w:r>
        <w:t>))</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r>
        <w:rPr>
          <w:u w:val="single"/>
        </w:rPr>
        <w:t xml:space="preserve">; and</w:t>
      </w:r>
    </w:p>
    <w:p>
      <w:pPr>
        <w:spacing w:before="0" w:after="0" w:line="408" w:lineRule="exact"/>
        <w:ind w:left="0" w:right="0" w:firstLine="576"/>
        <w:jc w:val="left"/>
      </w:pPr>
      <w:r>
        <w:rPr>
          <w:u w:val="single"/>
        </w:rPr>
        <w:t xml:space="preserve">(e) Agricultural and economic support and services available to historically marginalized communities</w:t>
      </w:r>
      <w:r>
        <w:rPr/>
        <w:t xml:space="preserve">.</w:t>
      </w:r>
    </w:p>
    <w:p>
      <w:pPr>
        <w:spacing w:before="0" w:after="0" w:line="408" w:lineRule="exact"/>
        <w:ind w:left="0" w:right="0" w:firstLine="576"/>
        <w:jc w:val="left"/>
      </w:pPr>
      <w:r>
        <w:rPr/>
        <w:t xml:space="preserve">(3) The distribution of the grants under this section must be done in collaboration with </w:t>
      </w:r>
      <w:r>
        <w:t>((</w:t>
      </w:r>
      <w:r>
        <w:rPr>
          <w:strike/>
        </w:rPr>
        <w:t xml:space="preserve">the governor's office of Indian affairs and</w:t>
      </w:r>
      <w:r>
        <w:t>))</w:t>
      </w:r>
      <w:r>
        <w:rPr/>
        <w:t xml:space="preserve">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w:t>
      </w:r>
      <w:r>
        <w:t>((</w:t>
      </w:r>
      <w:r>
        <w:rPr>
          <w:strike/>
        </w:rPr>
        <w:t xml:space="preserve">for the following purposes:</w:t>
      </w:r>
    </w:p>
    <w:p>
      <w:pPr>
        <w:spacing w:before="0" w:after="0" w:line="408" w:lineRule="exact"/>
        <w:ind w:left="0" w:right="0" w:firstLine="576"/>
        <w:jc w:val="left"/>
      </w:pPr>
      <w:r>
        <w:rPr>
          <w:strike/>
        </w:rPr>
        <w:t xml:space="preserve">(1) To</w:t>
      </w:r>
      <w:r>
        <w:t>))</w:t>
      </w:r>
      <w:r>
        <w:rPr/>
        <w:t xml:space="preserve"> </w:t>
      </w:r>
      <w:r>
        <w:rPr>
          <w:u w:val="single"/>
        </w:rPr>
        <w:t xml:space="preserve">to</w:t>
      </w:r>
      <w:r>
        <w:rPr/>
        <w:t xml:space="preserve"> fund foundational health services. </w:t>
      </w:r>
      <w:r>
        <w:t>((</w:t>
      </w:r>
      <w:r>
        <w:rPr>
          <w:strike/>
        </w:rPr>
        <w:t xml:space="preserve">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strike/>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strike/>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strike/>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Moneys may be transferred between the public employees' and retirees' insurance account and the school employees' insurance account for short-term cash management and cash balance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130</w:t>
      </w:r>
      <w:r>
        <w:rPr/>
        <w:t xml:space="preserve"> and 1983 c 59 s 9 are each amended to read as follows:</w:t>
      </w:r>
    </w:p>
    <w:p>
      <w:pPr>
        <w:spacing w:before="0" w:after="0" w:line="408" w:lineRule="exact"/>
        <w:ind w:left="0" w:right="0" w:firstLine="576"/>
        <w:jc w:val="left"/>
      </w:pPr>
      <w:r>
        <w:rPr/>
        <w:t xml:space="preserve">For each fund contained in the school district budget the estimated expenditures for the budgeted fiscal year must not be greater than the total of the estimated revenues for the budgeted fiscal year, the estimated fund balance at the beginning of the budgeted fiscal year less the estimated reserve fund balance at the end of the budgeted fiscal year, and the projected revenue from receivables collectible on future years as approved by the superintendent of public instruction for inclusion in the budget.</w:t>
      </w:r>
    </w:p>
    <w:p>
      <w:pPr>
        <w:spacing w:before="0" w:after="0" w:line="408" w:lineRule="exact"/>
        <w:ind w:left="0" w:right="0" w:firstLine="576"/>
        <w:jc w:val="left"/>
      </w:pPr>
      <w:r>
        <w:rPr/>
        <w:t xml:space="preserve">The proceeds of any interfund loan must not be used to balance the budget of the borrowing fund</w:t>
      </w:r>
      <w:r>
        <w:rPr>
          <w:u w:val="single"/>
        </w:rPr>
        <w:t xml:space="preserve">, except in fiscal year 2024 when such loans may be used to address budget destabilization in the aftermath of the COVID-19 pandemic. Interfund loans in fiscal year 2024 may be for a duration of two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July 1, 2024.</w:t>
      </w:r>
    </w:p>
    <w:p/>
    <w:p>
      <w:pPr>
        <w:jc w:val="center"/>
      </w:pPr>
      <w:r>
        <w:rPr>
          <w:b/>
        </w:rPr>
        <w:t>--- END ---</w:t>
      </w:r>
    </w:p>
    <w:sectPr>
      <w:pgNumType w:start="1"/>
      <w:footerReference xmlns:r="http://schemas.openxmlformats.org/officeDocument/2006/relationships" r:id="Rad2eeb79c59b4b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7d36d05b64ec8" /><Relationship Type="http://schemas.openxmlformats.org/officeDocument/2006/relationships/footer" Target="/word/footer1.xml" Id="Rad2eeb79c59b4bc0" /></Relationships>
</file>