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9262e501d4c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Braun, Rolfes, Conway, Holy, Mullet, Torres, Wagoner, Warnick, C. Wilson, and L.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protection; amending RCW 9A.36.031, 9.94A.831, and 10.118.030;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w:t>
      </w:r>
      <w:r>
        <w:rPr>
          <w:u w:val="single"/>
        </w:rPr>
        <w:t xml:space="preserve">Assaults a law enforcement officer or other employee of a law enforcement agency who was off duty at the time of the assault, but the assault was committed with the intent to specifically target the person due to their employment as a law enforcement professional; or</w:t>
      </w:r>
    </w:p>
    <w:p>
      <w:pPr>
        <w:spacing w:before="0" w:after="0" w:line="408" w:lineRule="exact"/>
        <w:ind w:left="0" w:right="0" w:firstLine="576"/>
        <w:jc w:val="left"/>
      </w:pPr>
      <w:r>
        <w:rPr>
          <w:u w:val="single"/>
        </w:rPr>
        <w:t xml:space="preserve">(i)</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831</w:t>
      </w:r>
      <w:r>
        <w:rPr/>
        <w:t xml:space="preserve"> and 2009 c 141 s 1 are each amended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assaulting a law enforcement officer or other employee of a law enforcement agency who was performing his or her official duties at the time of the assault as provided under RCW 9A.36.031; and</w:t>
      </w:r>
    </w:p>
    <w:p>
      <w:pPr>
        <w:spacing w:before="0" w:after="0" w:line="408" w:lineRule="exact"/>
        <w:ind w:left="0" w:right="0" w:firstLine="576"/>
        <w:jc w:val="left"/>
      </w:pPr>
      <w:r>
        <w:rPr/>
        <w:t xml:space="preserve">(2) There has been a special allegation pleaded and proven beyond a reasonable doubt that the defendant intentionally committed the assault with what appears to be a </w:t>
      </w:r>
      <w:r>
        <w:t>((</w:t>
      </w:r>
      <w:r>
        <w:rPr>
          <w:strike/>
        </w:rPr>
        <w:t xml:space="preserve">firearm</w:t>
      </w:r>
      <w:r>
        <w:t>))</w:t>
      </w:r>
      <w:r>
        <w:rPr/>
        <w:t xml:space="preserve"> </w:t>
      </w:r>
      <w:r>
        <w:rPr>
          <w:u w:val="single"/>
        </w:rPr>
        <w:t xml:space="preserve">deadly weapon as defined in RCW 9A.04.110</w:t>
      </w:r>
      <w:r>
        <w:rPr/>
        <w:t xml:space="preserve">;</w:t>
      </w:r>
    </w:p>
    <w:p>
      <w:pPr>
        <w:spacing w:before="0" w:after="0" w:line="408" w:lineRule="exact"/>
        <w:ind w:left="0" w:right="0" w:firstLine="0"/>
        <w:jc w:val="left"/>
      </w:pPr>
      <w:r>
        <w:rPr/>
        <w:t xml:space="preserve">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118</w:t>
      </w:r>
      <w:r>
        <w:rPr/>
        <w:t xml:space="preserve">.</w:t>
      </w:r>
      <w:r>
        <w:t xml:space="preserve">030</w:t>
      </w:r>
      <w:r>
        <w:rPr/>
        <w:t xml:space="preserve"> and 2021 c 326 s 4 are each amended to read as follows:</w:t>
      </w:r>
    </w:p>
    <w:p>
      <w:pPr>
        <w:spacing w:before="0" w:after="0" w:line="408" w:lineRule="exact"/>
        <w:ind w:left="0" w:right="0" w:firstLine="576"/>
        <w:jc w:val="left"/>
      </w:pP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 if known;</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chapter 326, Laws of 2021.</w:t>
      </w:r>
    </w:p>
    <w:p>
      <w:pPr>
        <w:spacing w:before="0" w:after="0" w:line="408" w:lineRule="exact"/>
        <w:ind w:left="0" w:right="0" w:firstLine="576"/>
        <w:jc w:val="left"/>
      </w:pPr>
      <w:r>
        <w:rPr/>
        <w:t xml:space="preserve">(4) </w:t>
      </w:r>
      <w:r>
        <w:rPr>
          <w:u w:val="single"/>
        </w:rPr>
        <w:t xml:space="preserve">Each law enforcement agency in the state must also report each incident where a law enforcement officer employed by the agency is physically harmed by a citizen while performing duties within the scope of their employment including:</w:t>
      </w:r>
    </w:p>
    <w:p>
      <w:pPr>
        <w:spacing w:before="0" w:after="0" w:line="408" w:lineRule="exact"/>
        <w:ind w:left="0" w:right="0" w:firstLine="576"/>
        <w:jc w:val="left"/>
      </w:pPr>
      <w:r>
        <w:rPr>
          <w:u w:val="single"/>
        </w:rPr>
        <w:t xml:space="preserve">(a) Details regarding the physical harm committed and the means of committing the physical harm;</w:t>
      </w:r>
    </w:p>
    <w:p>
      <w:pPr>
        <w:spacing w:before="0" w:after="0" w:line="408" w:lineRule="exact"/>
        <w:ind w:left="0" w:right="0" w:firstLine="576"/>
        <w:jc w:val="left"/>
      </w:pPr>
      <w:r>
        <w:rPr>
          <w:u w:val="single"/>
        </w:rPr>
        <w:t xml:space="preserve">(b) Whether or not subsequent charges were filed against the citizen;</w:t>
      </w:r>
    </w:p>
    <w:p>
      <w:pPr>
        <w:spacing w:before="0" w:after="0" w:line="408" w:lineRule="exact"/>
        <w:ind w:left="0" w:right="0" w:firstLine="576"/>
        <w:jc w:val="left"/>
      </w:pPr>
      <w:r>
        <w:rPr>
          <w:u w:val="single"/>
        </w:rPr>
        <w:t xml:space="preserve">(c) If charges were filed against the civilian, the ultimate disposition of the case;</w:t>
      </w:r>
    </w:p>
    <w:p>
      <w:pPr>
        <w:spacing w:before="0" w:after="0" w:line="408" w:lineRule="exact"/>
        <w:ind w:left="0" w:right="0" w:firstLine="576"/>
        <w:jc w:val="left"/>
      </w:pPr>
      <w:r>
        <w:rPr>
          <w:u w:val="single"/>
        </w:rPr>
        <w:t xml:space="preserve">(d) Reasoning if charges were not filed against the civilian; and</w:t>
      </w:r>
    </w:p>
    <w:p>
      <w:pPr>
        <w:spacing w:before="0" w:after="0" w:line="408" w:lineRule="exact"/>
        <w:ind w:left="0" w:right="0" w:firstLine="576"/>
        <w:jc w:val="left"/>
      </w:pPr>
      <w:r>
        <w:rPr>
          <w:u w:val="single"/>
        </w:rPr>
        <w:t xml:space="preserve">(e) The age, gender, race, and ethnicity of the individual who assaulted the officer.</w:t>
      </w:r>
    </w:p>
    <w:p>
      <w:pPr>
        <w:spacing w:before="0" w:after="0" w:line="408" w:lineRule="exact"/>
        <w:ind w:left="0" w:right="0" w:firstLine="576"/>
        <w:jc w:val="left"/>
      </w:pPr>
      <w:r>
        <w:rPr>
          <w:u w:val="single"/>
        </w:rPr>
        <w:t xml:space="preserve">(5)</w:t>
      </w:r>
      <w:r>
        <w:rPr/>
        <w:t xml:space="preserve"> All law enforcement agencies shall submit the reports required by this section in accordance with the requirements of the statewide use of force data program no later than three months after the office of the attorney general determines that the system procured in RCW 10.118.040 can accept law enforcement agency reports. Reports must be made in the format and time frame established in the statewide use of force data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law enforcement agency has satisfied its reporting obligations pursuant to chapter 326, Laws of 2021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d0d589dc32b4d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228b25db14bbc" /><Relationship Type="http://schemas.openxmlformats.org/officeDocument/2006/relationships/footer" Target="/word/footer1.xml" Id="R7d0d589dc32b4dd4" /></Relationships>
</file>