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ea25d5198f429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Mullet, Kuderer, Nguyen, and C. Wilson; by request of Department of Commerce)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43.185.030, 43.185.070, 43.185.074, 43.185.080, 43.185A.010, 43.185A.020, 43.185A.060, 43.185A.070, 18.85.311, 31.04.025, 39.35D.080, 43.63A.680, 43.79.201, 43.185C.200, 43.185C.210, 47.12.063, 59.24.060, 82.14.400, and 82.45.100; reenacting and amending RCW 43.185.050 and 43.185B.020; adding new sections to chapter 43.185A RCW; adding a new section to chapter 42.56 RCW; adding a new section to chapter 43.185B RCW; recodifying RCW 43.185.010, 43.185.030, 43.185.050, 43.185.070, 43.185.074, 43.185.080, and 43.185.110; and repealing RCW 43.185.015, 43.185.020, 43.185.060, 43.185.076, 43.185.090, 43.185.100, 43.185.120, 43.185.130, 43.185.140, 43.185.910, 43.185A.030, 43.185A.050, 43.185A.080, 43.185A.090, 43.185A.100, 43.185A.110, 43.185A.120, and 43.185A.900.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w:t>
      </w:r>
      <w:r>
        <w:t>((</w:t>
      </w:r>
      <w:r>
        <w:rPr>
          <w:strike/>
        </w:rPr>
        <w:t xml:space="preserve">one hundred 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150,000 households pay more than 50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t xml:space="preserve"> </w:t>
      </w:r>
      <w:r>
        <w:rPr>
          <w:u w:val="single"/>
        </w:rPr>
        <w:t xml:space="preserve">state investments in affordable housing, as enabled by the legislature in 1986, have exceeded $1,800,000,000 to provide over 55,000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w:t>
      </w:r>
      <w:r>
        <w:t>((</w:t>
      </w:r>
      <w:r>
        <w:rPr>
          <w:strike/>
        </w:rPr>
        <w:t xml:space="preserve">s</w:t>
      </w:r>
      <w:r>
        <w:t>))</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w:t>
      </w:r>
    </w:p>
    <w:p>
      <w:pPr>
        <w:spacing w:before="0" w:after="0" w:line="408" w:lineRule="exact"/>
        <w:ind w:left="0" w:right="0" w:firstLine="576"/>
        <w:jc w:val="left"/>
      </w:pPr>
      <w:r>
        <w:rPr>
          <w:u w:val="single"/>
        </w:rPr>
        <w:t xml:space="preserve">(2)</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 Technical</w:t>
      </w:r>
      <w:r>
        <w:t>))</w:t>
      </w:r>
      <w:r>
        <w:rPr/>
        <w:t xml:space="preserve"> </w:t>
      </w:r>
      <w:r>
        <w:rPr>
          <w:u w:val="single"/>
        </w:rPr>
        <w:t xml:space="preserve">Preconstruction technical</w:t>
      </w:r>
      <w:r>
        <w:rPr/>
        <w:t xml:space="preserve">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 Down payment or closing costs assistance for low-income first-time home buyers;</w:t>
      </w:r>
    </w:p>
    <w:p>
      <w:pPr>
        <w:spacing w:before="0" w:after="0" w:line="408" w:lineRule="exact"/>
        <w:ind w:left="0" w:right="0" w:firstLine="576"/>
        <w:jc w:val="left"/>
      </w:pPr>
      <w:r>
        <w:rPr>
          <w:u w:val="single"/>
        </w:rPr>
        <w:t xml:space="preserve">(f)</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Projects making </w:t>
      </w:r>
      <w:r>
        <w:rPr>
          <w:u w:val="single"/>
        </w:rPr>
        <w:t xml:space="preserve">affordable</w:t>
      </w:r>
      <w:r>
        <w:rPr/>
        <w:t xml:space="preserve"> housing </w:t>
      </w:r>
      <w:r>
        <w:rPr>
          <w:u w:val="single"/>
        </w:rPr>
        <w:t xml:space="preserve">projects</w:t>
      </w:r>
      <w:r>
        <w:rPr/>
        <w:t xml:space="preserve">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t>((</w:t>
      </w:r>
      <w:r>
        <w:rPr>
          <w:strike/>
        </w:rPr>
        <w:t xml:space="preserve">(3) Preference must be given for projects that include an early learning facility, as defined in RCW 43.31.565.</w:t>
      </w:r>
      <w:r>
        <w:t>))</w:t>
      </w:r>
    </w:p>
    <w:p>
      <w:pPr>
        <w:spacing w:before="0" w:after="0" w:line="408" w:lineRule="exact"/>
        <w:ind w:left="0" w:right="0" w:firstLine="576"/>
        <w:jc w:val="left"/>
      </w:pPr>
      <w:r>
        <w:rPr/>
        <w:t xml:space="preserve">(4)</w:t>
      </w:r>
      <w:r>
        <w:rPr>
          <w:u w:val="single"/>
        </w:rPr>
        <w:t xml:space="preserve">(a)</w:t>
      </w:r>
      <w:r>
        <w:rPr/>
        <w:t xml:space="preserve"> Legislative appropriations from capital bond proceeds may be used </w:t>
      </w:r>
      <w:r>
        <w:t>((</w:t>
      </w:r>
      <w:r>
        <w:rPr>
          <w:strike/>
        </w:rPr>
        <w:t xml:space="preserve">only</w:t>
      </w:r>
      <w:r>
        <w:t>))</w:t>
      </w:r>
      <w:r>
        <w:rPr/>
        <w:t xml:space="preserve"> for the costs of projects authorized under subsection </w:t>
      </w:r>
      <w:r>
        <w:t>((</w:t>
      </w:r>
      <w:r>
        <w:rPr>
          <w:strike/>
        </w:rPr>
        <w:t xml:space="preserve">(2)(a), (i), and (j)</w:t>
      </w:r>
      <w:r>
        <w:t>))</w:t>
      </w:r>
      <w:r>
        <w:rPr/>
        <w:t xml:space="preserve"> </w:t>
      </w:r>
      <w:r>
        <w:rPr>
          <w:u w:val="single"/>
        </w:rPr>
        <w:t xml:space="preserve">(3)</w:t>
      </w:r>
      <w:r>
        <w:rPr/>
        <w:t xml:space="preserve"> of this section, </w:t>
      </w:r>
      <w:r>
        <w:t>((</w:t>
      </w:r>
      <w:r>
        <w:rPr>
          <w:strike/>
        </w:rPr>
        <w:t xml:space="preserve">and not for the administrative costs of the department,</w:t>
      </w:r>
      <w:r>
        <w:t>))</w:t>
      </w:r>
      <w:r>
        <w:rPr/>
        <w:t xml:space="preserve"> except </w:t>
      </w:r>
      <w:r>
        <w:t>((</w:t>
      </w:r>
      <w:r>
        <w:rPr>
          <w:strike/>
        </w:rPr>
        <w:t xml:space="preserve">that during the 2021-2023 fiscal biennium, the</w:t>
      </w:r>
      <w:r>
        <w:t>))</w:t>
      </w:r>
      <w:r>
        <w:rPr/>
        <w:t xml:space="preserve"> </w:t>
      </w:r>
      <w:r>
        <w:rPr>
          <w:u w:val="single"/>
        </w:rPr>
        <w:t xml:space="preserve">for costs of subsection (3)(c) of this section.</w:t>
      </w:r>
    </w:p>
    <w:p>
      <w:pPr>
        <w:spacing w:before="0" w:after="0" w:line="408" w:lineRule="exact"/>
        <w:ind w:left="0" w:right="0" w:firstLine="576"/>
        <w:jc w:val="left"/>
      </w:pPr>
      <w:r>
        <w:rPr>
          <w:u w:val="single"/>
        </w:rPr>
        <w:t xml:space="preserve">(b) The</w:t>
      </w:r>
      <w:r>
        <w:rPr/>
        <w:t xml:space="preserve"> department may use up to three percent of the appropriations from capital bond proceeds </w:t>
      </w:r>
      <w:r>
        <w:rPr>
          <w:u w:val="single"/>
        </w:rPr>
        <w:t xml:space="preserve">or other new appropriations for affordable housing investments</w:t>
      </w:r>
      <w:r>
        <w:rPr/>
        <w:t xml:space="preserve"> for administrative costs associated with application, distribution, and project development activities of the </w:t>
      </w:r>
      <w:r>
        <w:rPr>
          <w:u w:val="single"/>
        </w:rPr>
        <w:t xml:space="preserve">affordable</w:t>
      </w:r>
      <w:r>
        <w:rPr/>
        <w:t xml:space="preserve"> housing </w:t>
      </w:r>
      <w:r>
        <w:t>((</w:t>
      </w:r>
      <w:r>
        <w:rPr>
          <w:strike/>
        </w:rPr>
        <w:t xml:space="preserve">assistance</w:t>
      </w:r>
      <w:r>
        <w:t>))</w:t>
      </w:r>
      <w:r>
        <w:rPr/>
        <w:t xml:space="preserve"> program.</w:t>
      </w:r>
    </w:p>
    <w:p>
      <w:pPr>
        <w:spacing w:before="0" w:after="0" w:line="408" w:lineRule="exact"/>
        <w:ind w:left="0" w:right="0" w:firstLine="576"/>
        <w:jc w:val="left"/>
      </w:pPr>
      <w:r>
        <w:rPr>
          <w:u w:val="single"/>
        </w:rPr>
        <w:t xml:space="preserve">(c) Reappropriations must not be included in the calculation of the annual funds available for determining the administrative costs.</w:t>
      </w:r>
    </w:p>
    <w:p>
      <w:pPr>
        <w:spacing w:before="0" w:after="0" w:line="408" w:lineRule="exact"/>
        <w:ind w:left="0" w:right="0" w:firstLine="576"/>
        <w:jc w:val="left"/>
      </w:pPr>
      <w:r>
        <w:rPr/>
        <w:t xml:space="preserve">(5)</w:t>
      </w:r>
      <w:r>
        <w:rPr>
          <w:u w:val="single"/>
        </w:rPr>
        <w:t xml:space="preserve">(a)</w:t>
      </w:r>
      <w:r>
        <w:rPr/>
        <w:t xml:space="preserve"> Moneys </w:t>
      </w:r>
      <w:r>
        <w:rPr>
          <w:u w:val="single"/>
        </w:rPr>
        <w:t xml:space="preserve">received</w:t>
      </w:r>
      <w:r>
        <w:rPr/>
        <w:t xml:space="preserve"> from repayment of </w:t>
      </w:r>
      <w:r>
        <w:rPr>
          <w:u w:val="single"/>
        </w:rPr>
        <w:t xml:space="preserve">housing trust fund</w:t>
      </w:r>
      <w:r>
        <w:rPr/>
        <w:t xml:space="preserve"> loans </w:t>
      </w:r>
      <w:r>
        <w:t>((</w:t>
      </w:r>
      <w:r>
        <w:rPr>
          <w:strike/>
        </w:rPr>
        <w:t xml:space="preserve">from appropriations from capital bond proceeds</w:t>
      </w:r>
      <w:r>
        <w:t>))</w:t>
      </w:r>
      <w:r>
        <w:rPr/>
        <w:t xml:space="preserve"> </w:t>
      </w:r>
      <w:r>
        <w:rPr>
          <w:u w:val="single"/>
        </w:rPr>
        <w:t xml:space="preserve">or other affordable housing appropriations</w:t>
      </w:r>
      <w:r>
        <w:rPr/>
        <w:t xml:space="preserve"> may be used for all activities necessary for the proper functioning of the </w:t>
      </w:r>
      <w:r>
        <w:rPr>
          <w:u w:val="single"/>
        </w:rPr>
        <w:t xml:space="preserve">affordable</w:t>
      </w:r>
      <w:r>
        <w:rPr/>
        <w:t xml:space="preserve"> housing </w:t>
      </w:r>
      <w:r>
        <w:t>((</w:t>
      </w:r>
      <w:r>
        <w:rPr>
          <w:strike/>
        </w:rPr>
        <w:t xml:space="preserve">assistance</w:t>
      </w:r>
      <w:r>
        <w:t>))</w:t>
      </w:r>
      <w:r>
        <w:rPr/>
        <w:t xml:space="preserve"> program </w:t>
      </w:r>
      <w:r>
        <w:t>((</w:t>
      </w:r>
      <w:r>
        <w:rPr>
          <w:strike/>
        </w:rPr>
        <w:t xml:space="preserve">except for activities authorized under subsection (2)(b) and (c) of this section</w:t>
      </w:r>
      <w:r>
        <w:t>))</w:t>
      </w:r>
      <w:r>
        <w:rPr>
          <w:u w:val="single"/>
        </w:rPr>
        <w:t xml:space="preserve">, including, but not limited to, providing preservation funding, as provided in section 13 of this act, and preconstruction technical assistance as provided in RCW 43.185.080 (as recodified by this act)</w:t>
      </w:r>
      <w:r>
        <w:rPr/>
        <w:t xml:space="preserve">.</w:t>
      </w:r>
    </w:p>
    <w:p>
      <w:pPr>
        <w:spacing w:before="0" w:after="0" w:line="408" w:lineRule="exact"/>
        <w:ind w:left="0" w:right="0" w:firstLine="576"/>
        <w:jc w:val="left"/>
      </w:pPr>
      <w:r>
        <w:t>((</w:t>
      </w:r>
      <w:r>
        <w:rPr>
          <w:strike/>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four-tenths</w:t>
      </w:r>
      <w:r>
        <w:rPr/>
        <w:t xml:space="preserve"> of one percent annually of the contracted amount of state investment in </w:t>
      </w:r>
      <w:r>
        <w:t>((</w:t>
      </w:r>
      <w:r>
        <w:rPr>
          <w:strike/>
        </w:rPr>
        <w:t xml:space="preserve">the housing assistance program</w:t>
      </w:r>
      <w:r>
        <w:t>))</w:t>
      </w:r>
      <w:r>
        <w:rPr/>
        <w:t xml:space="preserve"> </w:t>
      </w:r>
      <w:r>
        <w:rPr>
          <w:u w:val="single"/>
        </w:rPr>
        <w:t xml:space="preserve">affordable housing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w:t>
      </w:r>
      <w:r>
        <w:rPr>
          <w:u w:val="single"/>
        </w:rPr>
        <w:t xml:space="preserve">affordable</w:t>
      </w:r>
      <w:r>
        <w:rPr/>
        <w:t xml:space="preserve"> housing </w:t>
      </w:r>
      <w:r>
        <w:t>((</w:t>
      </w:r>
      <w:r>
        <w:rPr>
          <w:strike/>
        </w:rPr>
        <w:t xml:space="preserve">assistance</w:t>
      </w:r>
      <w:r>
        <w:t>))</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website</w:t>
      </w:r>
      <w:r>
        <w:rPr/>
        <w:t xml:space="preserve">, a grant and loan application period of at least </w:t>
      </w:r>
      <w:r>
        <w:t>((</w:t>
      </w:r>
      <w:r>
        <w:rPr>
          <w:strike/>
        </w:rPr>
        <w:t xml:space="preserve">ninety</w:t>
      </w:r>
      <w:r>
        <w:t>))</w:t>
      </w:r>
      <w:r>
        <w:rPr/>
        <w:t xml:space="preserve"> </w:t>
      </w:r>
      <w:r>
        <w:rPr>
          <w:u w:val="single"/>
        </w:rPr>
        <w:t xml:space="preserve">60</w:t>
      </w:r>
      <w:r>
        <w:rPr/>
        <w:t xml:space="preserve">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w:t>
      </w:r>
      <w:r>
        <w:t>((</w:t>
      </w:r>
      <w:r>
        <w:rPr>
          <w:strike/>
        </w:rPr>
        <w:t xml:space="preserve">twenty-five</w:t>
      </w:r>
      <w:r>
        <w:t>))</w:t>
      </w:r>
      <w:r>
        <w:rPr/>
        <w:t xml:space="preserve"> </w:t>
      </w:r>
      <w:r>
        <w:rPr>
          <w:u w:val="single"/>
        </w:rPr>
        <w:t xml:space="preserve">40</w:t>
      </w:r>
      <w:r>
        <w:rPr/>
        <w:t xml:space="preser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mandate</w:t>
      </w:r>
      <w:r>
        <w:rPr>
          <w:u w:val="single"/>
        </w:rPr>
        <w:t xml:space="preserv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 and</w:t>
      </w:r>
    </w:p>
    <w:p>
      <w:pPr>
        <w:spacing w:before="0" w:after="0" w:line="408" w:lineRule="exact"/>
        <w:ind w:left="0" w:right="0" w:firstLine="576"/>
        <w:jc w:val="left"/>
      </w:pPr>
      <w:r>
        <w:rPr>
          <w:u w:val="single"/>
        </w:rPr>
        <w:t xml:space="preserve">(p) Projects that demonstrate a strong readiness to proceed to construction</w:t>
      </w:r>
      <w:r>
        <w:rPr/>
        <w:t xml:space="preserve">.</w:t>
      </w:r>
    </w:p>
    <w:p>
      <w:pPr>
        <w:spacing w:before="0" w:after="0" w:line="408" w:lineRule="exact"/>
        <w:ind w:left="0" w:right="0" w:firstLine="576"/>
        <w:jc w:val="left"/>
      </w:pPr>
      <w:r>
        <w:rPr>
          <w:u w:val="single"/>
        </w:rPr>
        <w:t xml:space="preserve">(6) Preference must be given for projects that include an early learning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 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r>
        <w:rPr/>
        <w:t xml:space="preserve"> </w:t>
      </w:r>
      <w:r>
        <w:rPr>
          <w:u w:val="single"/>
        </w:rPr>
        <w:t xml:space="preserve">18.85.285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w:t>
      </w:r>
      <w:r>
        <w:t>((</w:t>
      </w:r>
      <w:r>
        <w:rPr>
          <w:strike/>
        </w:rPr>
        <w:t xml:space="preserve">but not appropriations from capital bond proceeds,</w:t>
      </w:r>
      <w:r>
        <w:t>))</w:t>
      </w:r>
      <w:r>
        <w:rPr/>
        <w:t xml:space="preserve">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w:t>
      </w:r>
      <w:r>
        <w:rPr>
          <w:u w:val="single"/>
        </w:rPr>
        <w:t xml:space="preserve">, to nonprofits serving marginalized communities without a history of receiving housing trust fund or other affordable housing investments, and to other nonprofit community organizations led by and for black, indigenous, and persons of color</w:t>
      </w:r>
      <w:r>
        <w:rPr/>
        <w:t xml:space="preserve">. The department may contract with </w:t>
      </w:r>
      <w:r>
        <w:rPr>
          <w:u w:val="single"/>
        </w:rPr>
        <w:t xml:space="preserve">private and</w:t>
      </w:r>
      <w:r>
        <w:rPr/>
        <w:t xml:space="preserve">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The legislature declares that it is in the public interest for the department to operate an affordable housing program and to establish a continuously renewable resource known as the housing trust fund to assist low and very low-income residents in meeting their basic housing needs, and that the needs of very low-income residents should be given priority. Whenever feasible, affordable housing shall be permanent and sustainable and assistance should be in the form of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w:t>
      </w:r>
      <w:r>
        <w:t>((</w:t>
      </w:r>
      <w:r>
        <w:rPr>
          <w:strike/>
        </w:rPr>
        <w:t xml:space="preserve">family's</w:t>
      </w:r>
      <w:r>
        <w:t>))</w:t>
      </w:r>
      <w:r>
        <w:rPr/>
        <w:t xml:space="preserve"> </w:t>
      </w:r>
      <w:r>
        <w:rPr>
          <w:u w:val="single"/>
        </w:rPr>
        <w:t xml:space="preserve">household's</w:t>
      </w:r>
      <w:r>
        <w:rPr/>
        <w:t xml:space="preserve">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 individual or his or her spouse or domestic partner who have not owned a home during the three-year period prior to purchase of a home</w:t>
      </w:r>
      <w:r>
        <w:t>))</w:t>
      </w:r>
      <w:r>
        <w:rPr>
          <w:u w:val="single"/>
        </w:rPr>
        <w:t xml:space="preserve">:</w:t>
      </w:r>
    </w:p>
    <w:p>
      <w:pPr>
        <w:spacing w:before="0" w:after="0" w:line="408" w:lineRule="exact"/>
        <w:ind w:left="0" w:right="0" w:firstLine="576"/>
        <w:jc w:val="left"/>
      </w:pPr>
      <w:r>
        <w:rPr>
          <w:u w:val="single"/>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determined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affordable housing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w:t>
      </w:r>
      <w:r>
        <w:t>))</w:t>
      </w:r>
      <w:r>
        <w:rPr/>
        <w:t xml:space="preserve"> </w:t>
      </w:r>
      <w:r>
        <w:rPr>
          <w:u w:val="single"/>
        </w:rPr>
        <w:t xml:space="preserve">43.185.050</w:t>
      </w:r>
      <w:r>
        <w:rPr/>
        <w:t xml:space="preserve">(2) (a), (b), (c), (d), and (e) </w:t>
      </w:r>
      <w:r>
        <w:rPr>
          <w:u w:val="single"/>
        </w:rPr>
        <w:t xml:space="preserve">(as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40 years except for projects that provide homes for low-income first-time home buyers, which must remain affordable for a minimum of 25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To the extent funds are appropriated for this purpose, the</w:t>
      </w:r>
      <w:r>
        <w:rPr/>
        <w:t xml:space="preserv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Personally identifiable information of occupants or prospective tenants of affordable housing or the street address of the residential real property occupied or applied for by tenants or prospective tenants of affordable housing, obtained by the department of commerce during monitoring activities or contract administration are exempt from inspection and copying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chapter 43.185A RCW during monitoring activities or contract administration that reveals the name or other personal information of occupants or prospective tenants of affordable housing, or the street address of the residential real property occupied or applied for by tenants or prospective tenants of affordable housing,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must report on its website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80 percent of the area median income, up to 50 percent of the area median income, and up to 30 percent of the area median income.</w:t>
      </w:r>
    </w:p>
    <w:p>
      <w:pPr>
        <w:spacing w:before="0" w:after="0" w:line="408" w:lineRule="exact"/>
        <w:ind w:left="0" w:right="0" w:firstLine="576"/>
        <w:jc w:val="left"/>
      </w:pPr>
      <w:r>
        <w:rPr/>
        <w:t xml:space="preserve">(2) All housing trust fund loan or grant recipients, except for those receiving preservation awards under section 13 of this act,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2023,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2016 sp.s. c 36 s 930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w:t>
      </w:r>
      <w:r>
        <w:t>((</w:t>
      </w:r>
      <w:r>
        <w:rPr>
          <w:strike/>
        </w:rPr>
        <w:t xml:space="preserve">43.185</w:t>
      </w:r>
      <w:r>
        <w:t>))</w:t>
      </w:r>
      <w:r>
        <w:rPr/>
        <w:t xml:space="preserve"> </w:t>
      </w:r>
      <w:r>
        <w:rPr>
          <w:u w:val="single"/>
        </w:rPr>
        <w:t xml:space="preserve">43.185A</w:t>
      </w:r>
      <w:r>
        <w:rPr/>
        <w:t xml:space="preserve"> RCW. During the 2015-2017 fiscal biennium,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(j) 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2020 c 139 s 24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must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 The rate of tax must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must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must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must be transferred annually to the department of commerce, or its successor agency, from the funds allocated under subsection (6)(b) of this section for a period of twelve years from the first date of distribution of funds under subsection (6)(b) of this section. The department of commerce, or its successor agency, must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individuals with mental illness.</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must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must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must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must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must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may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2022 c 266 s 53 and 2022 c 165 s 8 are each reenacted and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23</w:t>
      </w:r>
      <w:r>
        <w:t>))</w:t>
      </w:r>
      <w:r>
        <w:rPr/>
        <w:t xml:space="preserve"> </w:t>
      </w:r>
      <w:r>
        <w:rPr>
          <w:u w:val="single"/>
        </w:rPr>
        <w:t xml:space="preserve">25</w:t>
      </w:r>
      <w:r>
        <w:rPr/>
        <w:t xml:space="preserve"> members.</w:t>
      </w:r>
    </w:p>
    <w:p>
      <w:pPr>
        <w:spacing w:before="0" w:after="0" w:line="408" w:lineRule="exact"/>
        <w:ind w:left="0" w:right="0" w:firstLine="576"/>
        <w:jc w:val="left"/>
      </w:pPr>
      <w:r>
        <w:rPr/>
        <w:t xml:space="preserve">(a) The following </w:t>
      </w:r>
      <w:r>
        <w:t>((</w:t>
      </w:r>
      <w:r>
        <w:rPr>
          <w:strike/>
        </w:rPr>
        <w:t xml:space="preserve">20</w:t>
      </w:r>
      <w:r>
        <w:t>))</w:t>
      </w:r>
      <w:r>
        <w:rPr/>
        <w:t xml:space="preserve"> </w:t>
      </w:r>
      <w:r>
        <w:rPr>
          <w:u w:val="single"/>
        </w:rPr>
        <w:t xml:space="preserve">22</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 </w:t>
      </w:r>
      <w:r>
        <w:t>((</w:t>
      </w:r>
      <w:r>
        <w:rPr>
          <w:strike/>
        </w:rPr>
        <w:t xml:space="preserve">and</w:t>
      </w:r>
      <w:r>
        <w:t>))</w:t>
      </w:r>
    </w:p>
    <w:p>
      <w:pPr>
        <w:spacing w:before="0" w:after="0" w:line="408" w:lineRule="exact"/>
        <w:ind w:left="0" w:right="0" w:firstLine="576"/>
        <w:jc w:val="left"/>
      </w:pPr>
      <w:r>
        <w:rPr/>
        <w:t xml:space="preserve">(xvi) One representative at large; </w:t>
      </w:r>
      <w:r>
        <w:t>((</w:t>
      </w:r>
      <w:r>
        <w:rPr>
          <w:strike/>
        </w:rPr>
        <w:t xml:space="preserve">and</w:t>
      </w:r>
    </w:p>
    <w:p>
      <w:pPr>
        <w:spacing w:before="0" w:after="0" w:line="408" w:lineRule="exact"/>
        <w:ind w:left="0" w:right="0" w:firstLine="576"/>
        <w:jc w:val="left"/>
      </w:pPr>
      <w:r>
        <w:rPr>
          <w:strike/>
        </w:rPr>
        <w:t xml:space="preserve">(xvi)</w:t>
      </w:r>
      <w:r>
        <w:t>))</w:t>
      </w:r>
      <w:r>
        <w:rPr/>
        <w:t xml:space="preserve"> </w:t>
      </w:r>
      <w:r>
        <w:rPr>
          <w:u w:val="single"/>
        </w:rPr>
        <w:t xml:space="preserve">(xvii)</w:t>
      </w:r>
      <w:r>
        <w:rPr/>
        <w:t xml:space="preserve"> One representative from a unit owners' association as defined in RCW 64.34.020 or 64.90.010</w:t>
      </w:r>
      <w:r>
        <w:rPr>
          <w:u w:val="single"/>
        </w:rPr>
        <w:t xml:space="preserve">; and</w:t>
      </w:r>
    </w:p>
    <w:p>
      <w:pPr>
        <w:spacing w:before="0" w:after="0" w:line="408" w:lineRule="exact"/>
        <w:ind w:left="0" w:right="0" w:firstLine="576"/>
        <w:jc w:val="left"/>
      </w:pPr>
      <w:r>
        <w:rPr>
          <w:u w:val="single"/>
        </w:rPr>
        <w:t xml:space="preserve">(xviii) One representative from an interlocal housing collaboration as established under chapter 39.34 RCW</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43.185.010, 43.185.030, 43.185.050, 43.185.070, 43.185.074, and 43.185.080 are each recodified as sections in chapter 43.185A RCW.</w:t>
      </w:r>
    </w:p>
    <w:p>
      <w:pPr>
        <w:spacing w:before="0" w:after="0" w:line="408" w:lineRule="exact"/>
        <w:ind w:left="0" w:right="0" w:firstLine="576"/>
        <w:jc w:val="left"/>
      </w:pPr>
      <w:r>
        <w:rPr/>
        <w:t xml:space="preserve">(2) RCW </w:t>
      </w:r>
      <w:r>
        <w:t xml:space="preserve">43</w:t>
      </w:r>
      <w:r>
        <w:rPr/>
        <w:t xml:space="preserve">.</w:t>
      </w:r>
      <w:r>
        <w:t xml:space="preserve">185</w:t>
      </w:r>
      <w:r>
        <w:rPr/>
        <w:t xml:space="preserve">.</w:t>
      </w:r>
      <w:r>
        <w:t xml:space="preserve">110</w:t>
      </w:r>
      <w:r>
        <w:rPr/>
        <w:t xml:space="preserve"> is recodified as a section in </w:t>
      </w:r>
      <w:r>
        <w:rPr/>
        <w:t xml:space="preserve">chapter </w:t>
      </w:r>
      <w:r>
        <w:t xml:space="preserve">43</w:t>
      </w:r>
      <w:r>
        <w:rPr/>
        <w:t xml:space="preserve">.</w:t>
      </w:r>
      <w:r>
        <w:t xml:space="preserve">185B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 xml:space="preserve">(2) </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 xml:space="preserve">(3) </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 xml:space="preserve">(4) </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 xml:space="preserve">(5) </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 xml:space="preserve">(6) </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 xml:space="preserve">(7) </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 xml:space="preserve">(8) </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 xml:space="preserve">(9) </w:t>
      </w:r>
      <w:r>
        <w:rPr/>
        <w:t xml:space="preserve">RCW </w:t>
      </w:r>
      <w:r>
        <w:t xml:space="preserve">43</w:t>
      </w:r>
      <w:r>
        <w:rPr/>
        <w:t xml:space="preserve">.</w:t>
      </w:r>
      <w:r>
        <w:t xml:space="preserve">185</w:t>
      </w:r>
      <w:r>
        <w:rPr/>
        <w:t xml:space="preserve">.</w:t>
      </w:r>
      <w:r>
        <w:t xml:space="preserve">140</w:t>
      </w:r>
      <w:r>
        <w:rPr/>
        <w:t xml:space="preserve"> (Findings</w:t>
      </w:r>
      <w:r>
        <w:rPr>
          <w:rFonts w:ascii="Times New Roman" w:hAnsi="Times New Roman"/>
        </w:rPr>
        <w:t xml:space="preserve">—</w:t>
      </w:r>
      <w:r>
        <w:rPr/>
        <w:t xml:space="preserve">Review of all housing properties</w:t>
      </w:r>
      <w:r>
        <w:rPr>
          <w:rFonts w:ascii="Times New Roman" w:hAnsi="Times New Roman"/>
        </w:rPr>
        <w:t xml:space="preserve">—</w:t>
      </w:r>
      <w:r>
        <w:rPr/>
        <w:t xml:space="preserve">Energy audits) and 2009 c 379 s 301;</w:t>
      </w:r>
    </w:p>
    <w:p>
      <w:pPr>
        <w:spacing w:before="0" w:after="0" w:line="408" w:lineRule="exact"/>
        <w:ind w:left="0" w:right="0" w:firstLine="576"/>
        <w:jc w:val="left"/>
      </w:pPr>
      <w:r>
        <w:t xml:space="preserve">(10) </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0" w:after="0" w:line="408" w:lineRule="exact"/>
        <w:ind w:left="0" w:right="0" w:firstLine="576"/>
        <w:jc w:val="left"/>
      </w:pPr>
      <w:r>
        <w:t xml:space="preserve">(11) </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 xml:space="preserve">(12) </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 xml:space="preserve">(13) </w:t>
      </w:r>
      <w:r>
        <w:rPr/>
        <w:t xml:space="preserve">RCW </w:t>
      </w:r>
      <w:r>
        <w:t xml:space="preserve">43</w:t>
      </w:r>
      <w:r>
        <w:rPr/>
        <w:t xml:space="preserve">.</w:t>
      </w:r>
      <w:r>
        <w:t xml:space="preserve">185A</w:t>
      </w:r>
      <w:r>
        <w:rPr/>
        <w:t xml:space="preserve">.</w:t>
      </w:r>
      <w:r>
        <w:t xml:space="preserve">080</w:t>
      </w:r>
      <w:r>
        <w:rPr/>
        <w:t xml:space="preserve"> (Rules) and 1991 c 356 s 17;</w:t>
      </w:r>
    </w:p>
    <w:p>
      <w:pPr>
        <w:spacing w:before="0" w:after="0" w:line="408" w:lineRule="exact"/>
        <w:ind w:left="0" w:right="0" w:firstLine="576"/>
        <w:jc w:val="left"/>
      </w:pPr>
      <w:r>
        <w:t xml:space="preserve">(14) </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 xml:space="preserve">(15) </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 xml:space="preserve">(16) </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 xml:space="preserve">(17) </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 and</w:t>
      </w:r>
    </w:p>
    <w:p>
      <w:pPr>
        <w:spacing w:before="0" w:after="0" w:line="408" w:lineRule="exact"/>
        <w:ind w:left="0" w:right="0" w:firstLine="576"/>
        <w:jc w:val="left"/>
      </w:pPr>
      <w:r>
        <w:t xml:space="preserve">(18) </w:t>
      </w:r>
      <w:r>
        <w:rPr/>
        <w:t xml:space="preserve">RCW </w:t>
      </w:r>
      <w:r>
        <w:t xml:space="preserve">43</w:t>
      </w:r>
      <w:r>
        <w:rPr/>
        <w:t xml:space="preserve">.</w:t>
      </w:r>
      <w:r>
        <w:t xml:space="preserve">185A</w:t>
      </w:r>
      <w:r>
        <w:rPr/>
        <w:t xml:space="preserve">.</w:t>
      </w:r>
      <w:r>
        <w:t xml:space="preserve">900</w:t>
      </w:r>
      <w:r>
        <w:rPr/>
        <w:t xml:space="preserve"> (Short title) and 1991 c 356 s 9.</w:t>
      </w:r>
    </w:p>
    <w:p/>
    <w:p>
      <w:pPr>
        <w:jc w:val="center"/>
      </w:pPr>
      <w:r>
        <w:rPr>
          <w:b/>
        </w:rPr>
        <w:t>--- END ---</w:t>
      </w:r>
    </w:p>
    <w:sectPr>
      <w:pgNumType w:start="1"/>
      <w:footerReference xmlns:r="http://schemas.openxmlformats.org/officeDocument/2006/relationships" r:id="Rf80072aedccb4e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d2750559e4e47" /><Relationship Type="http://schemas.openxmlformats.org/officeDocument/2006/relationships/footer" Target="/word/footer1.xml" Id="Rf80072aedccb4efe" /></Relationships>
</file>