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69f0e4b63a419d" /></Relationships>
</file>

<file path=word/document.xml><?xml version="1.0" encoding="utf-8"?>
<w:document xmlns:w="http://schemas.openxmlformats.org/wordprocessingml/2006/main">
  <w:body>
    <w:p>
      <w:r>
        <w:t>Z-0072.3</w:t>
      </w:r>
    </w:p>
    <w:p>
      <w:pPr>
        <w:jc w:val="center"/>
      </w:pPr>
      <w:r>
        <w:t>_______________________________________________</w:t>
      </w:r>
    </w:p>
    <w:p/>
    <w:p>
      <w:pPr>
        <w:jc w:val="center"/>
      </w:pPr>
      <w:r>
        <w:rPr>
          <w:b/>
        </w:rPr>
        <w:t>SENATE BILL 5322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Hasegawa, Keiser, Valdez, and C. Wilson; by request of Department of Commerce</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current procurement practices put these manufacturers and others that meet high environmental and labor standards at a competitive disadvantage because the state treats them the same as manufacturers that are not investing in reducing their environmental footprint or that have poor labor practices.</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reduce greenhouse gas emissions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(10) Providing financial assistance to small manufacturers to support the production of environmental product declarations will ensure that small manufacturers are not put at a competitive disadvantage in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and plate; and</w:t>
      </w:r>
    </w:p>
    <w:p>
      <w:pPr>
        <w:spacing w:before="0" w:after="0" w:line="408" w:lineRule="exact"/>
        <w:ind w:left="0" w:right="0" w:firstLine="576"/>
        <w:jc w:val="left"/>
      </w:pPr>
      <w:r>
        <w:rPr/>
        <w:t xml:space="preserve">(d) Engineered wood products, specifically cross-laminated timber, glulam beams, laminated veneer lumber, and parallel strand lumber.</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(i) Any chain of custody certification;</w:t>
      </w:r>
    </w:p>
    <w:p>
      <w:pPr>
        <w:spacing w:before="0" w:after="0" w:line="408" w:lineRule="exact"/>
        <w:ind w:left="0" w:right="0" w:firstLine="576"/>
        <w:jc w:val="left"/>
      </w:pPr>
      <w:r>
        <w:rPr/>
        <w:t xml:space="preserve">(ii) Percent volume contribution to wood sourcing with forest management certification;</w:t>
      </w:r>
    </w:p>
    <w:p>
      <w:pPr>
        <w:spacing w:before="0" w:after="0" w:line="408" w:lineRule="exact"/>
        <w:ind w:left="0" w:right="0" w:firstLine="576"/>
        <w:jc w:val="left"/>
      </w:pPr>
      <w:r>
        <w:rPr/>
        <w:t xml:space="preserve">(iii) Percent volume contribution to wood sourcing by state or province and country; and</w:t>
      </w:r>
    </w:p>
    <w:p>
      <w:pPr>
        <w:spacing w:before="0" w:after="0" w:line="408" w:lineRule="exact"/>
        <w:ind w:left="0" w:right="0" w:firstLine="576"/>
        <w:jc w:val="left"/>
      </w:pPr>
      <w:r>
        <w:rPr/>
        <w:t xml:space="preserve">(iv) Percent volume contribution to wood sourcing by owner type, e.g., federal, state, private, or other.</w:t>
      </w:r>
    </w:p>
    <w:p>
      <w:pPr>
        <w:spacing w:before="0" w:after="0" w:line="408" w:lineRule="exact"/>
        <w:ind w:left="0" w:right="0" w:firstLine="576"/>
        <w:jc w:val="left"/>
      </w:pPr>
      <w:r>
        <w:rPr/>
        <w:t xml:space="preserve">(8)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(9)(a)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(10) "Supplier code of conduct" means a policy created by a manufacturer that outlines steps taken to ensure that its suppliers adhere to ethical practices, such as compliance with child and forced labor laws, antidiscrimination practices, freedom of association, and safe work place conditions.</w:t>
      </w:r>
    </w:p>
    <w:p>
      <w:pPr>
        <w:spacing w:before="0" w:after="0" w:line="408" w:lineRule="exact"/>
        <w:ind w:left="0" w:right="0" w:firstLine="576"/>
        <w:jc w:val="left"/>
      </w:pPr>
      <w:r>
        <w:rPr/>
        <w:t xml:space="preserve">(11)(a)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1-19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(b) For the purpose of this subsection:</w:t>
      </w:r>
    </w:p>
    <w:p>
      <w:pPr>
        <w:spacing w:before="0" w:after="0" w:line="408" w:lineRule="exact"/>
        <w:ind w:left="0" w:right="0" w:firstLine="576"/>
        <w:jc w:val="left"/>
      </w:pPr>
      <w:r>
        <w:rPr/>
        <w:t xml:space="preserve">(i) "Average" means the mean value:</w:t>
      </w:r>
    </w:p>
    <w:p>
      <w:pPr>
        <w:spacing w:before="0" w:after="0" w:line="408" w:lineRule="exact"/>
        <w:ind w:left="0" w:right="0" w:firstLine="576"/>
        <w:jc w:val="left"/>
      </w:pPr>
      <w:r>
        <w:rPr/>
        <w:t xml:space="preserve">(A) For the two previous years; or</w:t>
      </w:r>
    </w:p>
    <w:p>
      <w:pPr>
        <w:spacing w:before="0" w:after="0" w:line="408" w:lineRule="exact"/>
        <w:ind w:left="0" w:right="0" w:firstLine="576"/>
        <w:jc w:val="left"/>
      </w:pPr>
      <w:r>
        <w:rPr/>
        <w:t xml:space="preserve">(B) If the business has been operational for less than two years, since the business has been operational.</w:t>
      </w:r>
    </w:p>
    <w:p>
      <w:pPr>
        <w:spacing w:before="0" w:after="0" w:line="408" w:lineRule="exact"/>
        <w:ind w:left="0" w:right="0" w:firstLine="576"/>
        <w:jc w:val="left"/>
      </w:pPr>
      <w:r>
        <w:rPr/>
        <w:t xml:space="preserve">(ii) "Full time" means an employee with an employment contract that is for at least 12 consecutive months and whose working hours per week, month, or year are defined as full time according to national law or practice regarding working time.</w:t>
      </w:r>
    </w:p>
    <w:p>
      <w:pPr>
        <w:spacing w:before="0" w:after="0" w:line="408" w:lineRule="exact"/>
        <w:ind w:left="0" w:right="0" w:firstLine="576"/>
        <w:jc w:val="left"/>
      </w:pPr>
      <w:r>
        <w:rPr/>
        <w:t xml:space="preserve">(iii) "Part time" means an employee with an employment contract that is for at least 12 consecutive months and whose working hours are less than those required for a full-time employee, as defined in this section.</w:t>
      </w:r>
    </w:p>
    <w:p>
      <w:pPr>
        <w:spacing w:before="0" w:after="0" w:line="408" w:lineRule="exact"/>
        <w:ind w:left="0" w:right="0" w:firstLine="576"/>
        <w:jc w:val="left"/>
      </w:pPr>
      <w:r>
        <w:rPr/>
        <w:t xml:space="preserve">(iv) "Temporary" means an employee who has an employment contract that is for fewer than 12 months or who is terminated by a specific event including, but not limited to, the end of a project or the return of replaced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to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shall require in all newly executed construction contracts that the selected firm for a construction contract for a covered project to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(5)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(6)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(7)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buy clean and buy fair work group that includes representatives from:</w:t>
      </w:r>
    </w:p>
    <w:p>
      <w:pPr>
        <w:spacing w:before="0" w:after="0" w:line="408" w:lineRule="exact"/>
        <w:ind w:left="0" w:right="0" w:firstLine="576"/>
        <w:jc w:val="left"/>
      </w:pPr>
      <w:r>
        <w:rPr/>
        <w:t xml:space="preserve">(a) Industry professionals recommended by leading associations of Washington business in design, specification, and construction;</w:t>
      </w:r>
    </w:p>
    <w:p>
      <w:pPr>
        <w:spacing w:before="0" w:after="0" w:line="408" w:lineRule="exact"/>
        <w:ind w:left="0" w:right="0" w:firstLine="576"/>
        <w:jc w:val="left"/>
      </w:pPr>
      <w:r>
        <w:rPr/>
        <w:t xml:space="preserve">(b) Washington manufacturers;</w:t>
      </w:r>
    </w:p>
    <w:p>
      <w:pPr>
        <w:spacing w:before="0" w:after="0" w:line="408" w:lineRule="exact"/>
        <w:ind w:left="0" w:right="0" w:firstLine="576"/>
        <w:jc w:val="left"/>
      </w:pPr>
      <w:r>
        <w:rPr/>
        <w:t xml:space="preserve">(c) Manufacturing associations;</w:t>
      </w:r>
    </w:p>
    <w:p>
      <w:pPr>
        <w:spacing w:before="0" w:after="0" w:line="408" w:lineRule="exact"/>
        <w:ind w:left="0" w:right="0" w:firstLine="576"/>
        <w:jc w:val="left"/>
      </w:pPr>
      <w:r>
        <w:rPr/>
        <w:t xml:space="preserve">(d) The department of enterprise services;</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Environmental groups;</w:t>
      </w:r>
    </w:p>
    <w:p>
      <w:pPr>
        <w:spacing w:before="0" w:after="0" w:line="408" w:lineRule="exact"/>
        <w:ind w:left="0" w:right="0" w:firstLine="576"/>
        <w:jc w:val="left"/>
      </w:pPr>
      <w:r>
        <w:rPr/>
        <w:t xml:space="preserve">(h) Labor unions, including at least one representative that represents manufacturing workers;</w:t>
      </w:r>
    </w:p>
    <w:p>
      <w:pPr>
        <w:spacing w:before="0" w:after="0" w:line="408" w:lineRule="exact"/>
        <w:ind w:left="0" w:right="0" w:firstLine="576"/>
        <w:jc w:val="left"/>
      </w:pPr>
      <w:r>
        <w:rPr/>
        <w:t xml:space="preserve">(i) The minority and women-owned business community;</w:t>
      </w:r>
    </w:p>
    <w:p>
      <w:pPr>
        <w:spacing w:before="0" w:after="0" w:line="408" w:lineRule="exact"/>
        <w:ind w:left="0" w:right="0" w:firstLine="576"/>
        <w:jc w:val="left"/>
      </w:pPr>
      <w:r>
        <w:rPr/>
        <w:t xml:space="preserve">(j) The University of Washington college of built environments; and</w:t>
      </w:r>
    </w:p>
    <w:p>
      <w:pPr>
        <w:spacing w:before="0" w:after="0" w:line="408" w:lineRule="exact"/>
        <w:ind w:left="0" w:right="0" w:firstLine="576"/>
        <w:jc w:val="left"/>
      </w:pPr>
      <w:r>
        <w:rPr/>
        <w:t xml:space="preserve">(k) Other agencies and independent experts as necessary to meet the objectives of the work group as defined in subsection (4) of this section.</w:t>
      </w:r>
    </w:p>
    <w:p>
      <w:pPr>
        <w:spacing w:before="0" w:after="0" w:line="408" w:lineRule="exact"/>
        <w:ind w:left="0" w:right="0" w:firstLine="576"/>
        <w:jc w:val="left"/>
      </w:pPr>
      <w:r>
        <w:rPr/>
        <w:t xml:space="preserve">(2) The department may contract with the University of Washington college of built environments in convening the work group.</w:t>
      </w:r>
    </w:p>
    <w:p>
      <w:pPr>
        <w:spacing w:before="0" w:after="0" w:line="408" w:lineRule="exact"/>
        <w:ind w:left="0" w:right="0" w:firstLine="576"/>
        <w:jc w:val="left"/>
      </w:pPr>
      <w:r>
        <w:rPr/>
        <w:t xml:space="preserve">(3) The purpose of the work group is to identify opportunities and barriers to grow the use and production of low carbon materials, to promote high labor standards in manufacturing, and to preserve and to expand low carbon materials manufacturing in Washington.</w:t>
      </w:r>
    </w:p>
    <w:p>
      <w:pPr>
        <w:spacing w:before="0" w:after="0" w:line="408" w:lineRule="exact"/>
        <w:ind w:left="0" w:right="0" w:firstLine="576"/>
        <w:jc w:val="left"/>
      </w:pPr>
      <w:r>
        <w:rPr/>
        <w:t xml:space="preserve">(4)(a) By September 1, 2024, the buy clean and buy fair work group must submit a low carbon materials manufacturing plan report to the legislature and the governor. The report must recommend policies to preserve and grow the in-state manufacturing of low carbon materials.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(5)(a) By September 1, 2025, the buy clean and buy fair work group must submit a report on policy recommendations, including any statutory changes needed, to the legislature and the governor. The report must consider policies to leverage public procurement to expand the use and production of low carbon materials, to promote high labor standards in manufacturing,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including product quantities, global warming potential, health product declarations, supplier codes of conduct, working conditions, and any obstacles to the implementation of this chapter;</w:t>
      </w:r>
    </w:p>
    <w:p>
      <w:pPr>
        <w:spacing w:before="0" w:after="0" w:line="408" w:lineRule="exact"/>
        <w:ind w:left="0" w:right="0" w:firstLine="576"/>
        <w:jc w:val="left"/>
      </w:pPr>
      <w:r>
        <w:rPr/>
        <w:t xml:space="preserve">(ii)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(iii)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(iv) Identify barriers and opportunities to the effective use of the database maintained under section 5 of this act and the data collected pursuant to this chapter; and</w:t>
      </w:r>
    </w:p>
    <w:p>
      <w:pPr>
        <w:spacing w:before="0" w:after="0" w:line="408" w:lineRule="exact"/>
        <w:ind w:left="0" w:right="0" w:firstLine="576"/>
        <w:jc w:val="left"/>
      </w:pPr>
      <w:r>
        <w:rPr/>
        <w:t xml:space="preserve">(v) Survey the regulatory landscape to identify areas of alignment and discrepancy between local, state, federal, and private policy on embodied carbon and the procurement and use of low carbon materials and identify opportunities to promote consistency across public and private embodied carbon and low carbon materials policies, rules, and regulations.</w:t>
      </w:r>
    </w:p>
    <w:p>
      <w:pPr>
        <w:spacing w:before="0" w:after="0" w:line="408" w:lineRule="exact"/>
        <w:ind w:left="0" w:right="0" w:firstLine="576"/>
        <w:jc w:val="left"/>
      </w:pPr>
      <w:r>
        <w:rPr/>
        <w:t xml:space="preserve">(6)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00f5163bb6c49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d7f4788e24a5c" /><Relationship Type="http://schemas.openxmlformats.org/officeDocument/2006/relationships/footer" Target="/word/footer1.xml" Id="Ra00f5163bb6c49b9" /></Relationships>
</file>