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238a3e3f0745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Lovelett, Kuderer, Frame, Hasegawa, Nguyen, Nobles, and C. Wilson)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local government option for the funding of essential affordable housing programs; amending RCW 67.28.181 and 82.14.410; and adding a new section to chapter 67.28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is imposed on the sale of, or charge made for, the furnishing of lodging of a short-term rental subject to tax under chapter 82.08 RCW. The rate of tax may not exceed 10 percent on the sale of or charge made for the furnishing of lodging of short-term rentals. The rate of tax under this section must not be imposed in increments of less than one percent.</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in the unincorporated areas of the county for the county tax and in the corporate limits of the city for the city tax.</w:t>
      </w:r>
    </w:p>
    <w:p>
      <w:pPr>
        <w:spacing w:before="0" w:after="0" w:line="408" w:lineRule="exact"/>
        <w:ind w:left="0" w:right="0" w:firstLine="576"/>
        <w:jc w:val="left"/>
      </w:pPr>
      <w:r>
        <w:rPr/>
        <w:t xml:space="preserve">(e) A county, city, or town may develop criteria based on an operator's age and/or income to exempt no more than one short-term rental property per operator from the tax authorized under this section. A county, city, or town must specify exemption criteria and outline a certification process for the exemptions in the resolution when it adopts legislation imposing the tax under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 </w:t>
      </w:r>
    </w:p>
    <w:p>
      <w:pPr>
        <w:spacing w:before="0" w:after="0" w:line="408" w:lineRule="exact"/>
        <w:ind w:left="0" w:right="0" w:firstLine="576"/>
        <w:jc w:val="left"/>
      </w:pPr>
      <w:r>
        <w:rPr/>
        <w:t xml:space="preserve">(3)(a) Except as provided in (b) of this subsection, moneys collected from the special excise tax under this section must be used exclusively for the operating and capital costs of affordable housing programs including, but not limited to, homeless housing assistance, temporary shelters, and other related services. A county,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"Operator" has the same meaning as in RCW 64.37.010.</w:t>
      </w:r>
    </w:p>
    <w:p>
      <w:pPr>
        <w:spacing w:before="0" w:after="0" w:line="408" w:lineRule="exact"/>
        <w:ind w:left="0" w:right="0" w:firstLine="576"/>
        <w:jc w:val="left"/>
      </w:pPr>
      <w:r>
        <w:rPr/>
        <w:t xml:space="preserve">(b)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w:t>
      </w:r>
      <w:r>
        <w:t>((</w:t>
      </w:r>
      <w:r>
        <w:rPr>
          <w:strike/>
        </w:rPr>
        <w:t xml:space="preserve">four hundred thousand</w:t>
      </w:r>
      <w:r>
        <w:t>))</w:t>
      </w:r>
      <w:r>
        <w:rPr/>
        <w:t xml:space="preserve"> </w:t>
      </w:r>
      <w:r>
        <w:rPr>
          <w:u w:val="single"/>
        </w:rPr>
        <w:t xml:space="preserve">400,000</w:t>
      </w:r>
      <w:r>
        <w:rPr/>
        <w:t xml:space="preserve"> or more and is located in a county with a population of </w:t>
      </w:r>
      <w:r>
        <w:t>((</w:t>
      </w:r>
      <w:r>
        <w:rPr>
          <w:strike/>
        </w:rPr>
        <w:t xml:space="preserve">one million</w:t>
      </w:r>
      <w:r>
        <w:t>))</w:t>
      </w:r>
      <w:r>
        <w:rPr/>
        <w:t xml:space="preserve"> </w:t>
      </w:r>
      <w:r>
        <w:rPr>
          <w:u w:val="single"/>
        </w:rPr>
        <w:t xml:space="preserve">1,000,000</w:t>
      </w:r>
      <w:r>
        <w:rPr/>
        <w:t xml:space="preserve">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w:t>
      </w:r>
      <w:r>
        <w:t>((</w:t>
      </w:r>
      <w:r>
        <w:rPr>
          <w:strike/>
        </w:rPr>
        <w:t xml:space="preserve">fifteen</w:t>
      </w:r>
      <w:r>
        <w:t>))</w:t>
      </w:r>
      <w:r>
        <w:rPr/>
        <w:t xml:space="preserve"> </w:t>
      </w:r>
      <w:r>
        <w:rPr>
          <w:u w:val="single"/>
        </w:rPr>
        <w:t xml:space="preserve">15</w:t>
      </w:r>
      <w:r>
        <w:rPr/>
        <w:t xml:space="preserve">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
      <w:pPr>
        <w:jc w:val="center"/>
      </w:pPr>
      <w:r>
        <w:rPr>
          <w:b/>
        </w:rPr>
        <w:t>--- END ---</w:t>
      </w:r>
    </w:p>
    <w:sectPr>
      <w:pgNumType w:start="1"/>
      <w:footerReference xmlns:r="http://schemas.openxmlformats.org/officeDocument/2006/relationships" r:id="Ra12906052fc041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654e792164739" /><Relationship Type="http://schemas.openxmlformats.org/officeDocument/2006/relationships/footer" Target="/word/footer1.xml" Id="Ra12906052fc04190" /></Relationships>
</file>