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6b781a1bd4c81" /></Relationships>
</file>

<file path=word/document.xml><?xml version="1.0" encoding="utf-8"?>
<w:document xmlns:w="http://schemas.openxmlformats.org/wordprocessingml/2006/main">
  <w:body>
    <w:p>
      <w:r>
        <w:t>S-0170.1</w:t>
      </w:r>
    </w:p>
    <w:p>
      <w:pPr>
        <w:jc w:val="center"/>
      </w:pPr>
      <w:r>
        <w:t>_______________________________________________</w:t>
      </w:r>
    </w:p>
    <w:p/>
    <w:p>
      <w:pPr>
        <w:jc w:val="center"/>
      </w:pPr>
      <w:r>
        <w:rPr>
          <w:b/>
        </w:rPr>
        <w:t>SENATE BILL 5345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Padden, Dozier, Fortunato, Short, Braun, Wagoner, Warnick, Torres, and L. Wilson</w:t>
      </w:r>
    </w:p>
    <w:p/>
    <w:p>
      <w:r>
        <w:rPr>
          <w:t xml:space="preserve">Read first time 01/12/23.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public school buildings from the state energy performance standard; reenacting and amending RCW 19.27A.200; and adding a new section to chapter 19.27A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2022 c 177 s 2 are each reenacted and amended to read as follows:</w:t>
      </w:r>
    </w:p>
    <w:p>
      <w:pPr>
        <w:spacing w:before="0" w:after="0" w:line="408" w:lineRule="exact"/>
        <w:ind w:left="0" w:right="0" w:firstLine="576"/>
        <w:jc w:val="left"/>
      </w:pPr>
      <w:r>
        <w:rPr/>
        <w:t xml:space="preserve">The definitions in this section apply throughout RCW 19.27A.210, 19.27A.220, 19.27A.230, 19.27A.240, 19.27A.250, and </w:t>
      </w:r>
      <w:r>
        <w:t>((</w:t>
      </w:r>
      <w:r>
        <w:rPr>
          <w:strike/>
        </w:rPr>
        <w:t xml:space="preserve">19.27A.220</w:t>
      </w:r>
      <w:r>
        <w:t>))</w:t>
      </w:r>
      <w:r>
        <w:rPr/>
        <w:t xml:space="preserve"> </w:t>
      </w:r>
      <w:r>
        <w:rPr>
          <w:u w:val="single"/>
        </w:rPr>
        <w:t xml:space="preserve">section 2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energy use intensity that is representative of energy use in a normal weather year.</w:t>
      </w:r>
    </w:p>
    <w:p>
      <w:pPr>
        <w:spacing w:before="0" w:after="0" w:line="408" w:lineRule="exact"/>
        <w:ind w:left="0" w:right="0" w:firstLine="576"/>
        <w:jc w:val="left"/>
      </w:pPr>
      <w:r>
        <w:rPr/>
        <w:t xml:space="preserve">(3)(a) "Building owner" means an individual or entity possessing title to a building.</w:t>
      </w:r>
    </w:p>
    <w:p>
      <w:pPr>
        <w:spacing w:before="0" w:after="0" w:line="408" w:lineRule="exact"/>
        <w:ind w:left="0" w:right="0" w:firstLine="576"/>
        <w:jc w:val="left"/>
      </w:pPr>
      <w:r>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covered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building" includes a tier 1 covered building and a tier 2 covered building.</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electric utility or an investor-owned electric utility.</w:t>
      </w:r>
    </w:p>
    <w:p>
      <w:pPr>
        <w:spacing w:before="0" w:after="0" w:line="408" w:lineRule="exact"/>
        <w:ind w:left="0" w:right="0" w:firstLine="576"/>
        <w:jc w:val="left"/>
      </w:pPr>
      <w:r>
        <w:rPr/>
        <w:t xml:space="preserve">(11) "Eligible building owner" means: (a) The owner of a covered building required to comply with the standard established in RCW 19.27A.210; or (b) all eligible tier 2 covered building owners.</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including natural gas derived from renewable sources, synthetic sources, and fossil fuel sources;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target for net energy use intensity of a covered building.</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(19) "Multifamily residential building" means a covered multifamily building containing sleeping units or more than five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or campus. Renewable energy produced on a campus that is not attached to a covered building may be included.</w:t>
      </w:r>
    </w:p>
    <w:p>
      <w:pPr>
        <w:spacing w:before="0" w:after="0" w:line="408" w:lineRule="exact"/>
        <w:ind w:left="0" w:right="0" w:firstLine="576"/>
        <w:jc w:val="left"/>
      </w:pPr>
      <w:r>
        <w:rPr/>
        <w:t xml:space="preserve">(21) "Qualifying utility" means a consumer-owned or investor-owned gas or electric utility that serves more than 25,000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t>
      </w:r>
      <w:r>
        <w:t>((</w:t>
      </w:r>
      <w:r>
        <w:rPr>
          <w:strike/>
        </w:rPr>
        <w:t xml:space="preserve">"Tier</w:t>
      </w:r>
      <w:r>
        <w:t>))</w:t>
      </w:r>
      <w:r>
        <w:rPr/>
        <w:t xml:space="preserve"> </w:t>
      </w:r>
      <w:r>
        <w:rPr>
          <w:u w:val="single"/>
        </w:rPr>
        <w:t xml:space="preserve">Except as provided in section 2 of this act, "tier</w:t>
      </w:r>
      <w:r>
        <w:rPr/>
        <w:t xml:space="preserve"> 1 covered building" means a building where the sum of nonresidential, hotel, motel, and dormitory floor areas exceed 50,000 gross square feet, excluding the parking garage area.</w:t>
      </w:r>
    </w:p>
    <w:p>
      <w:pPr>
        <w:spacing w:before="0" w:after="0" w:line="408" w:lineRule="exact"/>
        <w:ind w:left="0" w:right="0" w:firstLine="576"/>
        <w:jc w:val="left"/>
      </w:pPr>
      <w:r>
        <w:rPr/>
        <w:t xml:space="preserve">(26) </w:t>
      </w:r>
      <w:r>
        <w:t>((</w:t>
      </w:r>
      <w:r>
        <w:rPr>
          <w:strike/>
        </w:rPr>
        <w:t xml:space="preserve">"Tier</w:t>
      </w:r>
      <w:r>
        <w:t>))</w:t>
      </w:r>
      <w:r>
        <w:rPr/>
        <w:t xml:space="preserve"> </w:t>
      </w:r>
      <w:r>
        <w:rPr>
          <w:u w:val="single"/>
        </w:rPr>
        <w:t xml:space="preserve">Except as provided in section 2 of this act, "tier</w:t>
      </w:r>
      <w:r>
        <w:rPr/>
        <w:t xml:space="preserve"> 2 covered building" means a building where the sum of multifamily residential, nonresidential, hotel, motel, and dormitory floor areas exceeds 20,000 gross square feet, but does not exceed 50,000 gross square feet, excluding the parking garage area. Tier 2 covered buildings also include multifamily residential buildings where floor areas are equal to or exceed 50,000 gross square feet, excluding the parking garage area.</w:t>
      </w:r>
    </w:p>
    <w:p>
      <w:pPr>
        <w:spacing w:before="0" w:after="0" w:line="408" w:lineRule="exact"/>
        <w:ind w:left="0" w:right="0" w:firstLine="576"/>
        <w:jc w:val="left"/>
      </w:pPr>
      <w:r>
        <w:rPr/>
        <w:t xml:space="preserve">(27)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(28) "Public school" has the same meaning as defined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Public school buildings are not covered buildings under this chapter and are exempt from the state energy performance standard if the public school building meets one of the following conditions:</w:t>
      </w:r>
    </w:p>
    <w:p>
      <w:pPr>
        <w:spacing w:before="0" w:after="0" w:line="408" w:lineRule="exact"/>
        <w:ind w:left="0" w:right="0" w:firstLine="576"/>
        <w:jc w:val="left"/>
      </w:pPr>
      <w:r>
        <w:rPr/>
        <w:t xml:space="preserve">(a) Any building in a public school district in which 50 percent or more of the children enrolled in the public school district qualify for free or reduced-price lunch as defined in RCW 28A.235.160 in any of the previous five years;</w:t>
      </w:r>
    </w:p>
    <w:p>
      <w:pPr>
        <w:spacing w:before="0" w:after="0" w:line="408" w:lineRule="exact"/>
        <w:ind w:left="0" w:right="0" w:firstLine="576"/>
        <w:jc w:val="left"/>
      </w:pPr>
      <w:r>
        <w:rPr/>
        <w:t xml:space="preserve">(b) Any building in a public school district that has a state funding assistance percentage, as defined in RCW 28A.525.166, of 50 percent or more in any of the previous five years; or</w:t>
      </w:r>
    </w:p>
    <w:p>
      <w:pPr>
        <w:spacing w:before="0" w:after="0" w:line="408" w:lineRule="exact"/>
        <w:ind w:left="0" w:right="0" w:firstLine="576"/>
        <w:jc w:val="left"/>
      </w:pPr>
      <w:r>
        <w:rPr/>
        <w:t xml:space="preserve">(c) Any building in a public school district where the public school district uses or purchases electricity generated from renewable resources or nonemitting electric generation electricity.</w:t>
      </w:r>
    </w:p>
    <w:p>
      <w:pPr>
        <w:spacing w:before="0" w:after="0" w:line="408" w:lineRule="exact"/>
        <w:ind w:left="0" w:right="0" w:firstLine="576"/>
        <w:jc w:val="left"/>
      </w:pPr>
      <w:r>
        <w:rPr/>
        <w:t xml:space="preserve">(2) Nothing in this section prohibits a school district from meeting the state energy performance standard in RCW 19.27A.210 if the school district chooses to comply.</w:t>
      </w:r>
    </w:p>
    <w:p/>
    <w:p>
      <w:pPr>
        <w:jc w:val="center"/>
      </w:pPr>
      <w:r>
        <w:rPr>
          <w:b/>
        </w:rPr>
        <w:t>--- END ---</w:t>
      </w:r>
    </w:p>
    <w:sectPr>
      <w:pgNumType w:start="1"/>
      <w:footerReference xmlns:r="http://schemas.openxmlformats.org/officeDocument/2006/relationships" r:id="Ra41a9ede2e2244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d2e03e34e4be7" /><Relationship Type="http://schemas.openxmlformats.org/officeDocument/2006/relationships/footer" Target="/word/footer1.xml" Id="Ra41a9ede2e2244c5" /></Relationships>
</file>