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9712cd2054aab" /></Relationships>
</file>

<file path=word/document.xml><?xml version="1.0" encoding="utf-8"?>
<w:document xmlns:w="http://schemas.openxmlformats.org/wordprocessingml/2006/main">
  <w:body>
    <w:p>
      <w:r>
        <w:t>S-1476.1</w:t>
      </w:r>
    </w:p>
    <w:p>
      <w:pPr>
        <w:jc w:val="center"/>
      </w:pPr>
      <w:r>
        <w:t>_______________________________________________</w:t>
      </w:r>
    </w:p>
    <w:p/>
    <w:p>
      <w:pPr>
        <w:jc w:val="center"/>
      </w:pPr>
      <w:r>
        <w:rPr>
          <w:b/>
        </w:rPr>
        <w:t>SUBSTITUTE SENATE BILL 5348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Conway, Keiser, Saldaña, Stanford, Hasegawa, Schoesler, Valdez,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employees of warehouses;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500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w:t>
      </w:r>
    </w:p>
    <w:p>
      <w:pPr>
        <w:spacing w:before="0" w:after="0" w:line="408" w:lineRule="exact"/>
        <w:ind w:left="0" w:right="0" w:firstLine="576"/>
        <w:jc w:val="left"/>
      </w:pPr>
      <w:r>
        <w:rPr/>
        <w:t xml:space="preserve">(d) 454110 for electronic shopping and mail-order houses; or</w:t>
      </w:r>
    </w:p>
    <w:p>
      <w:pPr>
        <w:spacing w:before="0" w:after="0" w:line="408" w:lineRule="exact"/>
        <w:ind w:left="0" w:right="0" w:firstLine="576"/>
        <w:jc w:val="left"/>
      </w:pPr>
      <w:r>
        <w:rPr/>
        <w:t xml:space="preserve">(e) 492110 for couriers and express delivery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clear and convincing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closure letter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For complaints filed under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(6) Upon receiving a complaint, the department may request or subpoena the records of the warehouse distribution center.</w:t>
      </w:r>
    </w:p>
    <w:p>
      <w:pPr>
        <w:spacing w:before="0" w:after="0" w:line="408" w:lineRule="exact"/>
        <w:ind w:left="0" w:right="0" w:firstLine="576"/>
        <w:jc w:val="left"/>
      </w:pPr>
      <w:r>
        <w:rPr/>
        <w:t xml:space="preserve">(7)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or former employee or designated employee representative may bring an action for injunctive relief to obtain compliance with this chapter, except for provisions of this chapter pertaining to violations of chapter 49.17 RCW. Upon prevailing in the action, the employee or former employee or designated employee representative may recover costs and reasonable attorneys' fees.</w:t>
      </w:r>
    </w:p>
    <w:p>
      <w:pPr>
        <w:spacing w:before="0" w:after="0" w:line="408" w:lineRule="exact"/>
        <w:ind w:left="0" w:right="0" w:firstLine="576"/>
        <w:jc w:val="left"/>
      </w:pPr>
      <w:r>
        <w:rPr/>
        <w:t xml:space="preserve">(1) In any action involving a quota that is deemed a violation under section 4 of this act, injunctive relief is limited to suspension of the quota and restitution and injunctive relief to address any retaliation or other adverse action taken by the employer in relation to the complaint or its enforcement.</w:t>
      </w:r>
    </w:p>
    <w:p>
      <w:pPr>
        <w:spacing w:before="0" w:after="0" w:line="408" w:lineRule="exact"/>
        <w:ind w:left="0" w:right="0" w:firstLine="576"/>
        <w:jc w:val="left"/>
      </w:pPr>
      <w:r>
        <w:rPr/>
        <w:t xml:space="preserve">(2) In any action alleging retaliation, in addition to the injunctive relief authorized above, the prevailing employee or former employee or the representative must be awarded damages equal to the greater of $10,000 or three times the actual damages, including but not limited to unpaid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either upon the attorney general's own complaint or the complaint of any person acting for themselves or the general public, may bring a civil or criminal action for violations of this chapter, except for provisions of this chapter pertaining to violations of chapter 49.17 RCW, or to enforce this chapter, independently and without specific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e9b03834ea6f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12bcc62034988" /><Relationship Type="http://schemas.openxmlformats.org/officeDocument/2006/relationships/footer" Target="/word/footer1.xml" Id="Re9b03834ea6f47b0" /></Relationships>
</file>