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aa17b0b63d4e71" /></Relationships>
</file>

<file path=word/document.xml><?xml version="1.0" encoding="utf-8"?>
<w:document xmlns:w="http://schemas.openxmlformats.org/wordprocessingml/2006/main">
  <w:body>
    <w:p>
      <w:r>
        <w:t>S-0129.1</w:t>
      </w:r>
    </w:p>
    <w:p>
      <w:pPr>
        <w:jc w:val="center"/>
      </w:pPr>
      <w:r>
        <w:t>_______________________________________________</w:t>
      </w:r>
    </w:p>
    <w:p/>
    <w:p>
      <w:pPr>
        <w:jc w:val="center"/>
      </w:pPr>
      <w:r>
        <w:rPr>
          <w:b/>
        </w:rPr>
        <w:t>SENATE BILL 5362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Dozier, Short, Torres, and L. Wilson</w:t>
      </w:r>
    </w:p>
    <w:p/>
    <w:p>
      <w:r>
        <w:rPr>
          <w:t xml:space="preserve">Read first time 01/13/23.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the due date for the department of ecology's report on the effects of the clean fuels program; amending RCW 70A.535.090;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clean fuels program will increase the price of gasoline and diesel in Washington by as much as 38.9 cents and 36.8 cents per gallon, respectively, during the life of the program, according to the department of ecology. When the clean fuels program legislation was enacted in 2021, the legislature called for the department of ecology to produce a report on the effects of the program after implementation, including the cost for drivers, in 2025. However, due to the high price of fuel in Washington, the legislature now determines that the department's report should be submitted at an earlier date, at which time the legislature will evaluate whether to continue with the clean fuels program, repeal it, or make adjustments to the program to help drivers save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090</w:t>
      </w:r>
      <w:r>
        <w:rPr/>
        <w:t xml:space="preserve"> and 2021 c 317 s 10 are each amended to read as follows:</w:t>
      </w:r>
    </w:p>
    <w:p>
      <w:pPr>
        <w:spacing w:before="0" w:after="0" w:line="408" w:lineRule="exact"/>
        <w:ind w:left="0" w:right="0" w:firstLine="576"/>
        <w:jc w:val="left"/>
      </w:pPr>
      <w:r>
        <w:rPr/>
        <w:t xml:space="preserve">(1) Beginning </w:t>
      </w:r>
      <w:r>
        <w:t>((</w:t>
      </w:r>
      <w:r>
        <w:rPr>
          <w:strike/>
        </w:rPr>
        <w:t xml:space="preserve">May 1, 2025</w:t>
      </w:r>
      <w:r>
        <w:t>))</w:t>
      </w:r>
      <w:r>
        <w:rPr/>
        <w:t xml:space="preserve"> </w:t>
      </w:r>
      <w:r>
        <w:rPr>
          <w:u w:val="single"/>
        </w:rPr>
        <w:t xml:space="preserve">February 1, 2024</w:t>
      </w:r>
      <w:r>
        <w:rPr/>
        <w:t xml:space="preserve">, and each </w:t>
      </w:r>
      <w:r>
        <w:t>((</w:t>
      </w:r>
      <w:r>
        <w:rPr>
          <w:strike/>
        </w:rPr>
        <w:t xml:space="preserve">May</w:t>
      </w:r>
      <w:r>
        <w:t>))</w:t>
      </w:r>
      <w:r>
        <w:rPr/>
        <w:t xml:space="preserve"> </w:t>
      </w:r>
      <w:r>
        <w:rPr>
          <w:u w:val="single"/>
        </w:rPr>
        <w:t xml:space="preserve">February</w:t>
      </w:r>
      <w:r>
        <w:rPr/>
        <w:t xml:space="preserve">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t>((</w:t>
      </w:r>
      <w:r>
        <w:rPr>
          <w:strike/>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strike/>
        </w:rPr>
        <w:t xml:space="preserve">(4) The department must contract for a one-time ex ante independent analysis of the information specified in subsection (1)(c) of this section covering each year of the program through 2038.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r>
        <w:t>))</w:t>
      </w:r>
    </w:p>
    <w:p/>
    <w:p>
      <w:pPr>
        <w:jc w:val="center"/>
      </w:pPr>
      <w:r>
        <w:rPr>
          <w:b/>
        </w:rPr>
        <w:t>--- END ---</w:t>
      </w:r>
    </w:p>
    <w:sectPr>
      <w:pgNumType w:start="1"/>
      <w:footerReference xmlns:r="http://schemas.openxmlformats.org/officeDocument/2006/relationships" r:id="Rb14a755ff35d4b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ce2e3a0a24759" /><Relationship Type="http://schemas.openxmlformats.org/officeDocument/2006/relationships/footer" Target="/word/footer1.xml" Id="Rb14a755ff35d4b14" /></Relationships>
</file>