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f5597962604e6b" /></Relationships>
</file>

<file path=word/document.xml><?xml version="1.0" encoding="utf-8"?>
<w:document xmlns:w="http://schemas.openxmlformats.org/wordprocessingml/2006/main">
  <w:body>
    <w:p>
      <w:r>
        <w:t>S-0577.1</w:t>
      </w:r>
    </w:p>
    <w:p>
      <w:pPr>
        <w:jc w:val="center"/>
      </w:pPr>
      <w:r>
        <w:t>_______________________________________________</w:t>
      </w:r>
    </w:p>
    <w:p/>
    <w:p>
      <w:pPr>
        <w:jc w:val="center"/>
      </w:pPr>
      <w:r>
        <w:rPr>
          <w:b/>
        </w:rPr>
        <w:t>SENATE BILL 5387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and Dozier</w:t>
      </w:r>
    </w:p>
    <w:p/>
    <w:p>
      <w:r>
        <w:rPr>
          <w:t xml:space="preserve">Read first time 01/16/23.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homeowner and renter tax relief; amending RCW 84.48.010, 84.69.020, and 82.03.190; adding a new section to chapter 84.36 RCW; adding a new section to chapter 84.52 RCW; adding a new title to the Revised Code of Washington to be codified as Title 84A RCW; creating a new section; prescribing penalties;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Homestead Property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2025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$250,000 of valuation of each residential tax parcel consisting of fewer than three residences; and</w:t>
      </w:r>
    </w:p>
    <w:p>
      <w:pPr>
        <w:spacing w:before="0" w:after="0" w:line="408" w:lineRule="exact"/>
        <w:ind w:left="0" w:right="0" w:firstLine="576"/>
        <w:jc w:val="left"/>
      </w:pPr>
      <w:r>
        <w:rPr/>
        <w:t xml:space="preserve">(ii) The first $250,000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2026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$1,000.</w:t>
      </w:r>
    </w:p>
    <w:p>
      <w:pPr>
        <w:spacing w:before="0" w:after="0" w:line="408" w:lineRule="exact"/>
        <w:ind w:left="0" w:right="0" w:firstLine="576"/>
        <w:jc w:val="left"/>
      </w:pPr>
      <w:r>
        <w:rPr/>
        <w:t xml:space="preserve">(3)(a) The county assessor must multiply the amount of the homestead exemption for a tax year by the combined indicated ratio fixed by the department for the county in which the residence is located and used by the department to determine the equalized state levy rate for that county for that tax year.</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applies to the total state property tax levied under RCW 84.52.065. The exemption does not apply to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 . . (S-0597/23)), the state levy must be reduced as necessary to prevent the value exempted under the homestead exemption in section 101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101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Renter's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"Claimant" means an individual or individuals who reside in the same household that have applied for or are receiving a renter's credit during the calendar year for which a claim was filed as provided in this chapter.</w:t>
      </w:r>
    </w:p>
    <w:p>
      <w:pPr>
        <w:spacing w:before="0" w:after="0" w:line="408" w:lineRule="exact"/>
        <w:ind w:left="0" w:right="0" w:firstLine="576"/>
        <w:jc w:val="left"/>
      </w:pPr>
      <w:r>
        <w:rPr/>
        <w:t xml:space="preserve">(2) "Community land trust" means a private, nonprofit organization created to acquire and hold land for the benefit of a community and provide secure affordable access to land and housing for community residents.</w:t>
      </w:r>
    </w:p>
    <w:p>
      <w:pPr>
        <w:spacing w:before="0" w:after="0" w:line="408" w:lineRule="exact"/>
        <w:ind w:left="0" w:right="0" w:firstLine="576"/>
        <w:jc w:val="left"/>
      </w:pPr>
      <w:r>
        <w:rPr/>
        <w:t xml:space="preserve">(3) "Cooperative ownership" means a type of residential housing where a corporation owns the housing units, and each resident is a shareholder in the corporation based in part on the relative size of the unit in which they reside.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"Gross rent" means the amount of rent paid by a claimant in cash or its equivalent for the right of occupancy of a qualified residence, as may be adjusted by the department under section 202(4)(f) of this act.</w:t>
      </w:r>
    </w:p>
    <w:p>
      <w:pPr>
        <w:spacing w:before="0" w:after="0" w:line="408" w:lineRule="exact"/>
        <w:ind w:left="0" w:right="0" w:firstLine="576"/>
        <w:jc w:val="left"/>
      </w:pPr>
      <w:r>
        <w:rPr/>
        <w:t xml:space="preserve">(6)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(7) "Principal place of residence" means a residence occupied for at least 183 days during a calendar year by a claimant. In the case of the renter's credit, a principal place of residence also includes multiple residences occupied, in the aggregate, for at least 183 days during a calendar year by a claimant.</w:t>
      </w:r>
    </w:p>
    <w:p>
      <w:pPr>
        <w:spacing w:before="0" w:after="0" w:line="408" w:lineRule="exact"/>
        <w:ind w:left="0" w:right="0" w:firstLine="576"/>
        <w:jc w:val="left"/>
      </w:pPr>
      <w:r>
        <w:rPr/>
        <w:t xml:space="preserve">(8) "Qualified residence" means the residence or residences occupied by the claimant for a total of at least 183 days during a calendar year, where any portion of such residence or residences are subject to state property taxes.</w:t>
      </w:r>
    </w:p>
    <w:p>
      <w:pPr>
        <w:spacing w:before="0" w:after="0" w:line="408" w:lineRule="exact"/>
        <w:ind w:left="0" w:right="0" w:firstLine="576"/>
        <w:jc w:val="left"/>
      </w:pPr>
      <w:r>
        <w:rPr/>
        <w:t xml:space="preserve">(9) "Rent constituting property taxes" means an amount equal to two percent of gross rent.</w:t>
      </w:r>
    </w:p>
    <w:p>
      <w:pPr>
        <w:spacing w:before="0" w:after="0" w:line="408" w:lineRule="exact"/>
        <w:ind w:left="0" w:right="0" w:firstLine="576"/>
        <w:jc w:val="left"/>
      </w:pPr>
      <w:r>
        <w:rPr/>
        <w:t xml:space="preserve">(10) "Renter's credit" means a refund of rent constituting property taxes as provided in section 202 of this act.</w:t>
      </w:r>
    </w:p>
    <w:p>
      <w:pPr>
        <w:spacing w:before="0" w:after="0" w:line="408" w:lineRule="exact"/>
        <w:ind w:left="0" w:right="0" w:firstLine="576"/>
        <w:jc w:val="left"/>
      </w:pPr>
      <w:r>
        <w:rPr/>
        <w:t xml:space="preserve">(11)(a) "Residence" means a single-family dwelling unit, whether the unit is separate or part of a multiunit dwelling, including the land on which the dwelling stands, regardless of whether ownership of the single-family dwelling unit and the land on which the dwelling unit stands is vested in the same person.</w:t>
      </w:r>
    </w:p>
    <w:p>
      <w:pPr>
        <w:spacing w:before="0" w:after="0" w:line="408" w:lineRule="exact"/>
        <w:ind w:left="0" w:right="0" w:firstLine="576"/>
        <w:jc w:val="left"/>
      </w:pPr>
      <w:r>
        <w:rPr/>
        <w:t xml:space="preserve">(b) "Residence" includes:</w:t>
      </w:r>
    </w:p>
    <w:p>
      <w:pPr>
        <w:spacing w:before="0" w:after="0" w:line="408" w:lineRule="exact"/>
        <w:ind w:left="0" w:right="0" w:firstLine="576"/>
        <w:jc w:val="left"/>
      </w:pPr>
      <w:r>
        <w:rPr/>
        <w:t xml:space="preserve">(i) A single-family dwelling unit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unit consisting of a manufactured/mobile home or park model that has substantially lost its identity as a mobile unit by virtue of it being fixed in location and placed on a foundation with fixed pipe connections with sewer, water, or other utilities;</w:t>
      </w:r>
    </w:p>
    <w:p>
      <w:pPr>
        <w:spacing w:before="0" w:after="0" w:line="408" w:lineRule="exact"/>
        <w:ind w:left="0" w:right="0" w:firstLine="576"/>
        <w:jc w:val="left"/>
      </w:pPr>
      <w:r>
        <w:rPr/>
        <w:t xml:space="preserve">(iii) A single-family dwelling unit consisting of a floating home as defined in RCW 82.45.032; and</w:t>
      </w:r>
    </w:p>
    <w:p>
      <w:pPr>
        <w:spacing w:before="0" w:after="0" w:line="408" w:lineRule="exact"/>
        <w:ind w:left="0" w:right="0" w:firstLine="576"/>
        <w:jc w:val="left"/>
      </w:pPr>
      <w:r>
        <w:rPr/>
        <w:t xml:space="preserve">(iv) An accessory dwelling unit that provides complete independent living facilities for one or more persons, including permanent provisions for living, sleeping, eating, cooking, and sanitation.</w:t>
      </w:r>
    </w:p>
    <w:p>
      <w:pPr>
        <w:spacing w:before="0" w:after="0" w:line="408" w:lineRule="exact"/>
        <w:ind w:left="0" w:right="0" w:firstLine="576"/>
        <w:jc w:val="left"/>
      </w:pPr>
      <w:r>
        <w:rPr/>
        <w:t xml:space="preserve">(c) "Residence" does not include a nursing home, assisted living facility, adult family home, or similar facility.</w:t>
      </w:r>
    </w:p>
    <w:p>
      <w:pPr>
        <w:spacing w:before="0" w:after="0" w:line="408" w:lineRule="exact"/>
        <w:ind w:left="0" w:right="0" w:firstLine="576"/>
        <w:jc w:val="left"/>
      </w:pPr>
      <w:r>
        <w:rPr/>
        <w:t xml:space="preserve">(12) "Single-family dwelling unit" means a structure maintained and used as a residential dwelling that is designed exclusively for occupancy for one family or household and includes permanent provisions for living, sleeping, eating, cooking, and sanitation facilities arranged and designed as permanent living quarters.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each claimant meeting the conditions of this section is eligible for a renter's credit in the form of a refund, subject to funds appropriated for this specific purpose. The renter's credit for a year is the amount of rent constituting property taxes paid in the immediately preceding calendar year with respect to a qualified residence.</w:t>
      </w:r>
    </w:p>
    <w:p>
      <w:pPr>
        <w:spacing w:before="0" w:after="0" w:line="408" w:lineRule="exact"/>
        <w:ind w:left="0" w:right="0" w:firstLine="576"/>
        <w:jc w:val="left"/>
      </w:pPr>
      <w:r>
        <w:rPr/>
        <w:t xml:space="preserve">(2)(a)(i) The renter's credit must be annually claimed in a form and manner required by the department by the last day of the calendar year for which the refund is claimed. The department may approve applications received after the deadline, as provided in section 203 of this act.</w:t>
      </w:r>
    </w:p>
    <w:p>
      <w:pPr>
        <w:spacing w:before="0" w:after="0" w:line="408" w:lineRule="exact"/>
        <w:ind w:left="0" w:right="0" w:firstLine="576"/>
        <w:jc w:val="left"/>
      </w:pPr>
      <w:r>
        <w:rPr/>
        <w:t xml:space="preserve">(ii) The claimant must provide proof of gross rent paid for the prior year and a copy of a mutually signed rental or lease agreement between the landlord and tenant for the qualified residence or for each rental unit that together constitutes a qualified residence.</w:t>
      </w:r>
    </w:p>
    <w:p>
      <w:pPr>
        <w:spacing w:before="0" w:after="0" w:line="408" w:lineRule="exact"/>
        <w:ind w:left="0" w:right="0" w:firstLine="576"/>
        <w:jc w:val="left"/>
      </w:pPr>
      <w:r>
        <w:rPr/>
        <w:t xml:space="preserve">(iii) The department must provide claimants a paper application form upon request.</w:t>
      </w:r>
    </w:p>
    <w:p>
      <w:pPr>
        <w:spacing w:before="0" w:after="0" w:line="408" w:lineRule="exact"/>
        <w:ind w:left="0" w:right="0" w:firstLine="576"/>
        <w:jc w:val="left"/>
      </w:pPr>
      <w:r>
        <w:rPr/>
        <w:t xml:space="preserve">(b) The claimant must sign the application attesting that the rental property or properties for which the renter's credit is sought was the claimant's principal place of residence in the immediately preceding calendar year and to the truth of the other information in the application. The signature requirements in this subsection (2)(b) may be met by an electronic signature. All signatures on an application must be made under penalty of perjury as provided in chapter 9A.72 RCW.</w:t>
      </w:r>
    </w:p>
    <w:p>
      <w:pPr>
        <w:spacing w:before="0" w:after="0" w:line="408" w:lineRule="exact"/>
        <w:ind w:left="0" w:right="0" w:firstLine="576"/>
        <w:jc w:val="left"/>
      </w:pPr>
      <w:r>
        <w:rPr/>
        <w:t xml:space="preserve">(c) Where multiple individuals contribute to the payment of gross rent eligible for a credit under this section, the department need only make a single refund payment unless the application for the renter's credit provides sufficient information for the department to split the refund payment among multiple individuals.</w:t>
      </w:r>
    </w:p>
    <w:p>
      <w:pPr>
        <w:spacing w:before="0" w:after="0" w:line="408" w:lineRule="exact"/>
        <w:ind w:left="0" w:right="0" w:firstLine="576"/>
        <w:jc w:val="left"/>
      </w:pPr>
      <w:r>
        <w:rPr/>
        <w:t xml:space="preserve">(3) Information about the renter's credit must be provided on the department's website, including qualifications and manner of making claims for the credit. Subject to funds appropriated for this specific purpose, the department must conduct public awareness and outreach efforts for the renter's credit.</w:t>
      </w:r>
    </w:p>
    <w:p>
      <w:pPr>
        <w:spacing w:before="0" w:after="0" w:line="408" w:lineRule="exact"/>
        <w:ind w:left="0" w:right="0" w:firstLine="576"/>
        <w:jc w:val="left"/>
      </w:pPr>
      <w:r>
        <w:rPr/>
        <w:t xml:space="preserve">(4) The following conditions apply to the renter's credit:</w:t>
      </w:r>
    </w:p>
    <w:p>
      <w:pPr>
        <w:spacing w:before="0" w:after="0" w:line="408" w:lineRule="exact"/>
        <w:ind w:left="0" w:right="0" w:firstLine="576"/>
        <w:jc w:val="left"/>
      </w:pPr>
      <w:r>
        <w:rPr/>
        <w:t xml:space="preserve">(a)(i) In the year immediately preceding the year for which a claimant submitted an application for a credit under this section, the claimant must have occupied one or more rental units constituting a qualified residence and paid gross rent; and</w:t>
      </w:r>
    </w:p>
    <w:p>
      <w:pPr>
        <w:spacing w:before="0" w:after="0" w:line="408" w:lineRule="exact"/>
        <w:ind w:left="0" w:right="0" w:firstLine="576"/>
        <w:jc w:val="left"/>
      </w:pPr>
      <w:r>
        <w:rPr/>
        <w:t xml:space="preserve">(ii) The claimant must be a Washington resident as of the date the claimant signed the application required under subsection (2) of this section. For purposes of this subsection (4)(a), "Washington resident" has the same meaning as in RCW 82.08.0206.</w:t>
      </w:r>
    </w:p>
    <w:p>
      <w:pPr>
        <w:spacing w:before="0" w:after="0" w:line="408" w:lineRule="exact"/>
        <w:ind w:left="0" w:right="0" w:firstLine="576"/>
        <w:jc w:val="left"/>
      </w:pPr>
      <w:r>
        <w:rPr/>
        <w:t xml:space="preserve">(b) The amount of the renter's credit for a qualified residence must not result in a refund that exceeds the amount that would be exempt under section 101 of this act, if the claimant were eligible for the homestead exemption on the qualified residence.</w:t>
      </w:r>
    </w:p>
    <w:p>
      <w:pPr>
        <w:spacing w:before="0" w:after="0" w:line="408" w:lineRule="exact"/>
        <w:ind w:left="0" w:right="0" w:firstLine="576"/>
        <w:jc w:val="left"/>
      </w:pPr>
      <w:r>
        <w:rPr/>
        <w:t xml:space="preserve">(c) The qualified residence for which a renter's credit is claimed must be subject to property taxation for the year for which the renter's credit is claimed.</w:t>
      </w:r>
    </w:p>
    <w:p>
      <w:pPr>
        <w:spacing w:before="0" w:after="0" w:line="408" w:lineRule="exact"/>
        <w:ind w:left="0" w:right="0" w:firstLine="576"/>
        <w:jc w:val="left"/>
      </w:pPr>
      <w:r>
        <w:rPr/>
        <w:t xml:space="preserve">(d) The claimant must have paid gross rent, with respect to a qualified residence, during the calendar year immediately preceding the year for which a claim for a renter's credit is made.</w:t>
      </w:r>
    </w:p>
    <w:p>
      <w:pPr>
        <w:spacing w:before="0" w:after="0" w:line="408" w:lineRule="exact"/>
        <w:ind w:left="0" w:right="0" w:firstLine="576"/>
        <w:jc w:val="left"/>
      </w:pPr>
      <w:r>
        <w:rPr/>
        <w:t xml:space="preserve">(e) The claimant must not have received a homestead exemption for the same year for which a renter's credit is claimed, except:</w:t>
      </w:r>
    </w:p>
    <w:p>
      <w:pPr>
        <w:spacing w:before="0" w:after="0" w:line="408" w:lineRule="exact"/>
        <w:ind w:left="0" w:right="0" w:firstLine="576"/>
        <w:jc w:val="left"/>
      </w:pPr>
      <w:r>
        <w:rPr/>
        <w:t xml:space="preserve">(i) For a qualified residence that includes a single-family dwelling unit owned by the claimant and located on leased land; and</w:t>
      </w:r>
    </w:p>
    <w:p>
      <w:pPr>
        <w:spacing w:before="0" w:after="0" w:line="408" w:lineRule="exact"/>
        <w:ind w:left="0" w:right="0" w:firstLine="576"/>
        <w:jc w:val="left"/>
      </w:pPr>
      <w:r>
        <w:rPr/>
        <w:t xml:space="preserve">(ii) In such cases, the refund under this section combined with the exemption under section 101 of this act may not exceed the allowable amount under section 101(2) of this act.</w:t>
      </w:r>
    </w:p>
    <w:p>
      <w:pPr>
        <w:spacing w:before="0" w:after="0" w:line="408" w:lineRule="exact"/>
        <w:ind w:left="0" w:right="0" w:firstLine="576"/>
        <w:jc w:val="left"/>
      </w:pPr>
      <w:r>
        <w:rPr/>
        <w:t xml:space="preserve">(f)(i) If the landlord and claimant have not dealt with each other at arm's length and the department determines that the gross rent paid by the claimant was excessive, the department may adjust the gross rent paid to a reasonable rental amount for purposes of rent constituting property taxes paid.</w:t>
      </w:r>
    </w:p>
    <w:p>
      <w:pPr>
        <w:spacing w:before="0" w:after="0" w:line="408" w:lineRule="exact"/>
        <w:ind w:left="0" w:right="0" w:firstLine="576"/>
        <w:jc w:val="left"/>
      </w:pPr>
      <w:r>
        <w:rPr/>
        <w:t xml:space="preserve">(ii) Any redetermination of gross rent under this subsection is subject to the appeal provisions under section 205 of this act.</w:t>
      </w:r>
    </w:p>
    <w:p>
      <w:pPr>
        <w:spacing w:before="0" w:after="0" w:line="408" w:lineRule="exact"/>
        <w:ind w:left="0" w:right="0" w:firstLine="576"/>
        <w:jc w:val="left"/>
      </w:pPr>
      <w:r>
        <w:rPr/>
        <w:t xml:space="preserve">(g) A person may not claim a renter's credit on behalf of a deceased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approve applications after the applicable deadline in section 202 of this act when the application is filed within six months of the original deadline, and either:</w:t>
      </w:r>
    </w:p>
    <w:p>
      <w:pPr>
        <w:spacing w:before="0" w:after="0" w:line="408" w:lineRule="exact"/>
        <w:ind w:left="0" w:right="0" w:firstLine="576"/>
        <w:jc w:val="left"/>
      </w:pPr>
      <w:r>
        <w:rPr/>
        <w:t xml:space="preserve">(i) The claimant has not been late in filing an application under section 202 of this act with the department for the two years prior to the year for which the application was filed late; or</w:t>
      </w:r>
    </w:p>
    <w:p>
      <w:pPr>
        <w:spacing w:before="0" w:after="0" w:line="408" w:lineRule="exact"/>
        <w:ind w:left="0" w:right="0" w:firstLine="576"/>
        <w:jc w:val="left"/>
      </w:pPr>
      <w:r>
        <w:rPr/>
        <w:t xml:space="preserve">(ii) The claimant is able to substantiate that the late filing was caused by circumstances beyond the claimant's control.</w:t>
      </w:r>
    </w:p>
    <w:p>
      <w:pPr>
        <w:spacing w:before="0" w:after="0" w:line="408" w:lineRule="exact"/>
        <w:ind w:left="0" w:right="0" w:firstLine="576"/>
        <w:jc w:val="left"/>
      </w:pPr>
      <w:r>
        <w:rPr/>
        <w:t xml:space="preserve">(b) For purposes of this subsection (1), "circumstances beyond the claimant's control" means circumstances that are immediate, unexpected, or in the nature of an emergency, when the circumstances result in the claimant not having reasonable time or opportunity to file an application by the deadline. Depending on the particular facts of the claimant's situation, circumstances beyond the claimant's control may include:</w:t>
      </w:r>
    </w:p>
    <w:p>
      <w:pPr>
        <w:spacing w:before="0" w:after="0" w:line="408" w:lineRule="exact"/>
        <w:ind w:left="0" w:right="0" w:firstLine="576"/>
        <w:jc w:val="left"/>
      </w:pPr>
      <w:r>
        <w:rPr/>
        <w:t xml:space="preserve">(i) Serious illness of the claimant or a member of the claimant's immediate family, as defined in RCW 42.17A.005;</w:t>
      </w:r>
    </w:p>
    <w:p>
      <w:pPr>
        <w:spacing w:before="0" w:after="0" w:line="408" w:lineRule="exact"/>
        <w:ind w:left="0" w:right="0" w:firstLine="576"/>
        <w:jc w:val="left"/>
      </w:pPr>
      <w:r>
        <w:rPr/>
        <w:t xml:space="preserve">(ii) The application was mailed timely but inadvertently sent to the wrong agency;</w:t>
      </w:r>
    </w:p>
    <w:p>
      <w:pPr>
        <w:spacing w:before="0" w:after="0" w:line="408" w:lineRule="exact"/>
        <w:ind w:left="0" w:right="0" w:firstLine="576"/>
        <w:jc w:val="left"/>
      </w:pPr>
      <w:r>
        <w:rPr/>
        <w:t xml:space="preserve">(iii) The claimant received incorrect, ambiguous, or misleading written advice from the department regarding the qualifications or filing requirements for the renter's credit;</w:t>
      </w:r>
    </w:p>
    <w:p>
      <w:pPr>
        <w:spacing w:before="0" w:after="0" w:line="408" w:lineRule="exact"/>
        <w:ind w:left="0" w:right="0" w:firstLine="576"/>
        <w:jc w:val="left"/>
      </w:pPr>
      <w:r>
        <w:rPr/>
        <w:t xml:space="preserve">(iv) Natural disaster, such as flood or earthquake, occurring shortly before the filing deadline;</w:t>
      </w:r>
    </w:p>
    <w:p>
      <w:pPr>
        <w:spacing w:before="0" w:after="0" w:line="408" w:lineRule="exact"/>
        <w:ind w:left="0" w:right="0" w:firstLine="576"/>
        <w:jc w:val="left"/>
      </w:pPr>
      <w:r>
        <w:rPr/>
        <w:t xml:space="preserve">(v) Delay or loss of the application by the postal service, and documented by the postal service;</w:t>
      </w:r>
    </w:p>
    <w:p>
      <w:pPr>
        <w:spacing w:before="0" w:after="0" w:line="408" w:lineRule="exact"/>
        <w:ind w:left="0" w:right="0" w:firstLine="576"/>
        <w:jc w:val="left"/>
      </w:pPr>
      <w:r>
        <w:rPr/>
        <w:t xml:space="preserve">(vi) The unavoidable absence of the claimant shortly before the filing deadline, which does not include vacations, business trips, and the like;</w:t>
      </w:r>
    </w:p>
    <w:p>
      <w:pPr>
        <w:spacing w:before="0" w:after="0" w:line="408" w:lineRule="exact"/>
        <w:ind w:left="0" w:right="0" w:firstLine="576"/>
        <w:jc w:val="left"/>
      </w:pPr>
      <w:r>
        <w:rPr/>
        <w:t xml:space="preserve">(vii) The destruction of the claimant's primary residence by fire or other casualty shortly before the filing deadline;</w:t>
      </w:r>
    </w:p>
    <w:p>
      <w:pPr>
        <w:spacing w:before="0" w:after="0" w:line="408" w:lineRule="exact"/>
        <w:ind w:left="0" w:right="0" w:firstLine="576"/>
        <w:jc w:val="left"/>
      </w:pPr>
      <w:r>
        <w:rPr/>
        <w:t xml:space="preserve">(viii) The department did not respond within a reasonable time to the claimant's written request for an application for the renter's credit; or</w:t>
      </w:r>
    </w:p>
    <w:p>
      <w:pPr>
        <w:spacing w:before="0" w:after="0" w:line="408" w:lineRule="exact"/>
        <w:ind w:left="0" w:right="0" w:firstLine="576"/>
        <w:jc w:val="left"/>
      </w:pPr>
      <w:r>
        <w:rPr/>
        <w:t xml:space="preserve">(ix) Other circumstances of a similar nature as those described in this subsection (1)(b).</w:t>
      </w:r>
    </w:p>
    <w:p>
      <w:pPr>
        <w:spacing w:before="0" w:after="0" w:line="408" w:lineRule="exact"/>
        <w:ind w:left="0" w:right="0" w:firstLine="576"/>
        <w:jc w:val="left"/>
      </w:pPr>
      <w:r>
        <w:rPr/>
        <w:t xml:space="preserve">(2) If the department finds that a claimant does not meet the requirements for a renter's credit, the department must deny the claimant's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the department determines that the claimant received a renter's credit that the claimant was not entitled to, or received a larger refund than the claimant was entitled to, the department must assess against the claimant the overpaid amount. Such amounts are due within six months following the date the department issued the assessment.</w:t>
      </w:r>
    </w:p>
    <w:p>
      <w:pPr>
        <w:spacing w:before="0" w:after="0" w:line="408" w:lineRule="exact"/>
        <w:ind w:left="0" w:right="0" w:firstLine="576"/>
        <w:jc w:val="left"/>
      </w:pPr>
      <w:r>
        <w:rPr/>
        <w:t xml:space="preserve">(b) If the full amount due is not paid by the due date provided in (a) of this subsection, the department must add interest, as provided under RCW 82.32.050, to the amount due starting from the due date in (a) of this subsection until the amount due under this subsection (1) is paid in full to the department. Except as otherwise provided in this subsection (1), penalties may not be assessed on amounts due under this subsection (1).</w:t>
      </w:r>
    </w:p>
    <w:p>
      <w:pPr>
        <w:spacing w:before="0" w:after="0" w:line="408" w:lineRule="exact"/>
        <w:ind w:left="0" w:right="0" w:firstLine="576"/>
        <w:jc w:val="left"/>
      </w:pPr>
      <w:r>
        <w:rPr/>
        <w:t xml:space="preserve">(c)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t xml:space="preserve">(d) If the department finds by clear, cogent, and convincing evidence that a claimant knowingly submitted, caused to be submitted, or consented to the submission of, a fraudulent claim for a renter's credit under this chapter, the department must assess a penalty of 50 percent of the overpaid amount. This penalty is in addition to any other applicable penalties assessed in accordance with (c) of this subsection. In addition, the claimant is barred from receiving a renter's credit under this chapter for the 10 years following the year for which the claimant submitted a fraudulent claim under this chapter.</w:t>
      </w:r>
    </w:p>
    <w:p>
      <w:pPr>
        <w:spacing w:before="0" w:after="0" w:line="408" w:lineRule="exact"/>
        <w:ind w:left="0" w:right="0" w:firstLine="576"/>
        <w:jc w:val="left"/>
      </w:pPr>
      <w:r>
        <w:rPr/>
        <w:t xml:space="preserve">(2) If, within the period allowed for refunds under RCW 82.32.060, the department finds that a claimant received a lesser refund than the claimant was entitled to, the department must remit the additional amount due under this chapter to the claimant.</w:t>
      </w:r>
    </w:p>
    <w:p>
      <w:pPr>
        <w:spacing w:before="0" w:after="0" w:line="408" w:lineRule="exact"/>
        <w:ind w:left="0" w:right="0" w:firstLine="576"/>
        <w:jc w:val="left"/>
      </w:pPr>
      <w:r>
        <w:rPr/>
        <w:t xml:space="preserve">(3) Interest does not apply to renter's credit refunds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claimant disagrees with any decision of the department affecting the claimant's eligibility for a renter's credit under this chapter, the amount of such exemption or credit, or the claimant's obligation to repay all or part of a refund under this chapter, the claimant may petition the department for a correction of the department's decision within 60 days of the date of the department's decision. The department may, in its discretion, grant extensions of the 60-day deadline under this subsection (1) but only when the department receives the request for extension in writing within the 60-day deadline in this subsection (1).</w:t>
      </w:r>
    </w:p>
    <w:p>
      <w:pPr>
        <w:spacing w:before="0" w:after="0" w:line="408" w:lineRule="exact"/>
        <w:ind w:left="0" w:right="0" w:firstLine="576"/>
        <w:jc w:val="left"/>
      </w:pPr>
      <w:r>
        <w:rPr/>
        <w:t xml:space="preserve">(b)(i) A petition for correction must be in a form and manner determined by the department; and</w:t>
      </w:r>
    </w:p>
    <w:p>
      <w:pPr>
        <w:spacing w:before="0" w:after="0" w:line="408" w:lineRule="exact"/>
        <w:ind w:left="0" w:right="0" w:firstLine="576"/>
        <w:jc w:val="left"/>
      </w:pPr>
      <w:r>
        <w:rPr/>
        <w:t xml:space="preserve">(ii) The petition must include an explanation of why the claimant believes the department's decision is legally incorrect.</w:t>
      </w:r>
    </w:p>
    <w:p>
      <w:pPr>
        <w:spacing w:before="0" w:after="0" w:line="408" w:lineRule="exact"/>
        <w:ind w:left="0" w:right="0" w:firstLine="576"/>
        <w:jc w:val="left"/>
      </w:pPr>
      <w:r>
        <w:rPr/>
        <w:t xml:space="preserve">(2) The department must consider a petition by a claimant under subsection (1) of this section and may:</w:t>
      </w:r>
    </w:p>
    <w:p>
      <w:pPr>
        <w:spacing w:before="0" w:after="0" w:line="408" w:lineRule="exact"/>
        <w:ind w:left="0" w:right="0" w:firstLine="576"/>
        <w:jc w:val="left"/>
      </w:pPr>
      <w:r>
        <w:rPr/>
        <w:t xml:space="preserve">(a) Grant or deny the petition based on the information provided in the petition and other information in the department's possession; or</w:t>
      </w:r>
    </w:p>
    <w:p>
      <w:pPr>
        <w:spacing w:before="0" w:after="0" w:line="408" w:lineRule="exact"/>
        <w:ind w:left="0" w:right="0" w:firstLine="576"/>
        <w:jc w:val="left"/>
      </w:pPr>
      <w:r>
        <w:rPr/>
        <w:t xml:space="preserve">(b) Grant a conference with the claimant, which must be informal under such procedures and processes as provided by rule of the department.</w:t>
      </w:r>
    </w:p>
    <w:p>
      <w:pPr>
        <w:spacing w:before="0" w:after="0" w:line="408" w:lineRule="exact"/>
        <w:ind w:left="0" w:right="0" w:firstLine="576"/>
        <w:jc w:val="left"/>
      </w:pPr>
      <w:r>
        <w:rPr/>
        <w:t xml:space="preserve">(3) The department may make such determination as may appear to it to be just and lawful and must mail a copy of its determination to the petitioner or provide a copy of its determination electronically as provided in RCW 82.32.135.</w:t>
      </w:r>
    </w:p>
    <w:p>
      <w:pPr>
        <w:spacing w:before="0" w:after="0" w:line="408" w:lineRule="exact"/>
        <w:ind w:left="0" w:right="0" w:firstLine="576"/>
        <w:jc w:val="left"/>
      </w:pPr>
      <w:r>
        <w:rPr/>
        <w:t xml:space="preserve">(4) A claimant who disagrees with a determination from the department under this section may appeal the determination to the board of tax appeals pursuant to the provisions of chapter 82.03 RCW and rules adopted by the board of tax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specific purpose, the department must develop and maintain a centralized computer system to facilitate the exchange of data between the department and each county assessor and county treasurer necessary to implement and administer this chapter.</w:t>
      </w:r>
    </w:p>
    <w:p>
      <w:pPr>
        <w:spacing w:before="0" w:after="0" w:line="408" w:lineRule="exact"/>
        <w:ind w:left="0" w:right="0" w:firstLine="576"/>
        <w:jc w:val="left"/>
      </w:pPr>
      <w:r>
        <w:rPr/>
        <w:t xml:space="preserve">(2) County assessors, county treasurers, and the department must work together to facilitate the electronic transfer to the department of information maintained by county assessors and county treasurers that is necessary to administer this chapter.</w:t>
      </w:r>
    </w:p>
    <w:p>
      <w:pPr>
        <w:spacing w:before="0" w:after="0" w:line="408" w:lineRule="exact"/>
        <w:ind w:left="0" w:right="0" w:firstLine="576"/>
        <w:jc w:val="left"/>
      </w:pPr>
      <w:r>
        <w:rPr/>
        <w:t xml:space="preserve">(3) The department may conduct audits of recipients of the renter's credit to determine whether the recipient was eligible for the credit and the proper amount of credit the recipient was eligible for, if any.</w:t>
      </w:r>
    </w:p>
    <w:p>
      <w:pPr>
        <w:spacing w:before="0" w:after="0" w:line="408" w:lineRule="exact"/>
        <w:ind w:left="0" w:right="0" w:firstLine="576"/>
        <w:jc w:val="left"/>
      </w:pPr>
      <w:r>
        <w:rPr/>
        <w:t xml:space="preserve">(4) The department may adopt such rules in accordance with chapter 34.05 RCW, and prescribe such forms, as the department deems useful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the renter's credit in this chapter, to the extent that such provisions of chapter 82.32 RCW do not clearly conflict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190</w:t>
      </w:r>
      <w:r>
        <w:rPr/>
        <w:t xml:space="preserve"> and 2012 c 39 s 3 are each amended to read as follows:</w:t>
      </w:r>
    </w:p>
    <w:p>
      <w:pPr>
        <w:spacing w:before="0" w:after="0" w:line="408" w:lineRule="exact"/>
        <w:ind w:left="0" w:right="0" w:firstLine="576"/>
        <w:jc w:val="left"/>
      </w:pPr>
      <w:r>
        <w:rPr/>
        <w:t xml:space="preserve">(1) Except as provided in subsection (2) of this section, any person having received notice of a denial of a petition or a notice of determination made under RCW 82.32.160, 82.32.170, 82.34.110, </w:t>
      </w:r>
      <w:r>
        <w:t>((</w:t>
      </w:r>
      <w:r>
        <w:rPr>
          <w:strike/>
        </w:rPr>
        <w:t xml:space="preserve">or</w:t>
      </w:r>
      <w:r>
        <w:t>))</w:t>
      </w:r>
      <w:r>
        <w:rPr/>
        <w:t xml:space="preserve"> 82.49.060</w:t>
      </w:r>
      <w:r>
        <w:rPr>
          <w:u w:val="single"/>
        </w:rPr>
        <w:t xml:space="preserve">, or section 205 of this act</w:t>
      </w:r>
      <w:r>
        <w:rPr/>
        <w:t xml:space="preserve"> may appeal by filing in accordance with RCW 1.12.070 a notice of appeal with the board of tax appeals within </w:t>
      </w:r>
      <w:r>
        <w:t>((</w:t>
      </w:r>
      <w:r>
        <w:rPr>
          <w:strike/>
        </w:rPr>
        <w:t xml:space="preserve">thirty</w:t>
      </w:r>
      <w:r>
        <w:t>))</w:t>
      </w:r>
      <w:r>
        <w:rPr/>
        <w:t xml:space="preserve"> </w:t>
      </w:r>
      <w:r>
        <w:rPr>
          <w:u w:val="single"/>
        </w:rPr>
        <w:t xml:space="preserve">30</w:t>
      </w:r>
      <w:r>
        <w:rPr/>
        <w:t xml:space="preserve"> days after the mailing of the notice of such denial or determination. </w:t>
      </w:r>
      <w:r>
        <w:t>((</w:t>
      </w:r>
      <w:r>
        <w:rPr>
          <w:strike/>
        </w:rPr>
        <w:t xml:space="preserve">In</w:t>
      </w:r>
      <w:r>
        <w:t>))</w:t>
      </w:r>
      <w:r>
        <w:rPr/>
        <w:t xml:space="preserve"> </w:t>
      </w:r>
      <w:r>
        <w:rPr>
          <w:u w:val="single"/>
        </w:rPr>
        <w:t xml:space="preserve">Except as provided in this subsection, in</w:t>
      </w:r>
      <w:r>
        <w:rPr/>
        <w:t xml:space="preserve"> the notice of appeal the taxpayer must set forth the amount of the tax which the taxpayer contends should be reduced or refunded and the reasons for such reduction or refund, in accordance with rules of practice and procedure prescribed by the board. However, if the notice of appeal relates to an application made to the department under chapter 82.34 RCW, the taxpayer must set forth the amount to which the taxpayer claims the credit or exemption should apply, and the grounds for such contention, in accordance with rules of practice and procedure prescribed by the board. </w:t>
      </w:r>
      <w:r>
        <w:rPr>
          <w:u w:val="single"/>
        </w:rPr>
        <w:t xml:space="preserve">If the notice of appeal relates to a determination under section 205 of this act, the notice must include an explanation of why the department's determination is incorrect.</w:t>
      </w:r>
      <w:r>
        <w:rPr/>
        <w:t xml:space="preserve"> The board must transmit a copy of the notice of appeal to the department and all other named parties within thirty days of its receipt by the board. If the taxpayer intends that the hearing before the board be held pursuant to the administrative procedure act (chapter 34.05 RCW), the notice of appeal must also so state. In the event that the notice of appeal does not so state, the department may, within thirty days from the date of its receipt of the notice of appeal, file with the board notice of its intention that the hearing be held pursuant to the administrative procedure act.</w:t>
      </w:r>
    </w:p>
    <w:p>
      <w:pPr>
        <w:spacing w:before="0" w:after="0" w:line="408" w:lineRule="exact"/>
        <w:ind w:left="0" w:right="0" w:firstLine="576"/>
        <w:jc w:val="left"/>
      </w:pPr>
      <w:r>
        <w:rPr/>
        <w:t xml:space="preserve">(2) No person may file a notice of appeal with the board of tax appeals to contest the amount of spirits taxes assessed or asserted to be due by the department of revenue unless the person has first paid the full amount of the contested spirits taxes. For purposes of this subsection, "spirits taxes" has the same meaning as in RCW 82.08.155.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207 of this act constitute a new chapter in a new title in the Revised Code of Washington, to be codified as Title 84A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 if the proposed amendment to Article VII of the state Constitution providing for the homestead exemption and renter's credit (Senate Joint Resolution No. . . . (S-0597/23))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a14f6a14921149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2564f20e24292" /><Relationship Type="http://schemas.openxmlformats.org/officeDocument/2006/relationships/footer" Target="/word/footer1.xml" Id="Ra14f6a14921149dc" /></Relationships>
</file>