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4765a8c444733" /></Relationships>
</file>

<file path=word/document.xml><?xml version="1.0" encoding="utf-8"?>
<w:document xmlns:w="http://schemas.openxmlformats.org/wordprocessingml/2006/main">
  <w:body>
    <w:p>
      <w:r>
        <w:t>S-0463.2</w:t>
      </w:r>
    </w:p>
    <w:p>
      <w:pPr>
        <w:jc w:val="center"/>
      </w:pPr>
      <w:r>
        <w:t>_______________________________________________</w:t>
      </w:r>
    </w:p>
    <w:p/>
    <w:p>
      <w:pPr>
        <w:jc w:val="center"/>
      </w:pPr>
      <w:r>
        <w:rPr>
          <w:b/>
        </w:rPr>
        <w:t>SENATE BILL 5388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Cleveland, Muzzall, Conway, Frame, Hasegawa, Keiser, Lovelett, Lovick, Pedersen, Rolfes, Saldaña, Valdez, and C. Wilson</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website that:</w:t>
      </w:r>
    </w:p>
    <w:p>
      <w:pPr>
        <w:spacing w:before="0" w:after="0" w:line="408" w:lineRule="exact"/>
        <w:ind w:left="0" w:right="0" w:firstLine="576"/>
        <w:jc w:val="left"/>
      </w:pPr>
      <w:r>
        <w:rPr/>
        <w:t xml:space="preserve">(i) Provides information concerning methods recognized by the United States food and drug administration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2024, and every even-numbered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Any state entity that receives funding from the national institutes of health to conduct clinical trials of drugs or medical devices must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3cd5668414d042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64124278347bc" /><Relationship Type="http://schemas.openxmlformats.org/officeDocument/2006/relationships/footer" Target="/word/footer1.xml" Id="R3cd5668414d04223" /></Relationships>
</file>