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c1e3e41144b6d" /></Relationships>
</file>

<file path=word/document.xml><?xml version="1.0" encoding="utf-8"?>
<w:document xmlns:w="http://schemas.openxmlformats.org/wordprocessingml/2006/main">
  <w:body>
    <w:p>
      <w:r>
        <w:t>S-0584.1</w:t>
      </w:r>
    </w:p>
    <w:p>
      <w:pPr>
        <w:jc w:val="center"/>
      </w:pPr>
      <w:r>
        <w:t>_______________________________________________</w:t>
      </w:r>
    </w:p>
    <w:p/>
    <w:p>
      <w:pPr>
        <w:jc w:val="center"/>
      </w:pPr>
      <w:r>
        <w:rPr>
          <w:b/>
        </w:rPr>
        <w:t>SENATE BILL 5393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Dhingra, Hasegawa, Keiser, Randall,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reenacting and amending RCW 41.05.017; adding new sections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report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in collaboration with the office of the attorney general,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health plans issued or renewed on or after January 1, 2024, a provider contract between a hospital or any affiliate of a hospital and a health carrier may not directly or indirectly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including for a comprehensive population-based payment agreement meeting the criteria of category 4B or higher as set forth in the health care payment learning and action network alternative payment model framework, as it existed on January 1, 2023. If a health carrier voluntarily agrees to contract with other hospitals owned or controlled by the same single entity under subsection (1)(a) of this section, the health carrier must file a declaration with the office of the insurance commissioner that complies with the filing requirements of RCW 48.43.730.</w:t>
      </w:r>
    </w:p>
    <w:p>
      <w:pPr>
        <w:spacing w:before="0" w:after="0" w:line="408" w:lineRule="exact"/>
        <w:ind w:left="0" w:right="0" w:firstLine="576"/>
        <w:jc w:val="left"/>
      </w:pPr>
      <w:r>
        <w:rPr/>
        <w:t xml:space="preserve">(3) Subsection (1)(a) and (d) of this section do not apply to the limited extent that it would prevent a hospital, provider, or health carrier from participating in:</w:t>
      </w:r>
    </w:p>
    <w:p>
      <w:pPr>
        <w:spacing w:before="0" w:after="0" w:line="408" w:lineRule="exact"/>
        <w:ind w:left="0" w:right="0" w:firstLine="576"/>
        <w:jc w:val="left"/>
      </w:pPr>
      <w:r>
        <w:rPr/>
        <w:t xml:space="preserve">(a) A state-sponsored health care program, federally funded health care program, or state or federal grant opportunity; or</w:t>
      </w:r>
    </w:p>
    <w:p>
      <w:pPr>
        <w:spacing w:before="0" w:after="0" w:line="408" w:lineRule="exact"/>
        <w:ind w:left="0" w:right="0" w:firstLine="576"/>
        <w:jc w:val="left"/>
      </w:pPr>
      <w:r>
        <w:rPr/>
        <w:t xml:space="preserve">(b) A value-based purchasing arrangement structured to reduce unnecessary utilization, improve health outcomes, and contain health care costs.</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A health plan contract between a health carrier and a hospital, physician or physician group, or ancillary provider may not include a clause requiring the health carrier to reimburse a hospital, physician or physician group, or ancillary provider at the acquiror's contract rate when acquired, directly or indirectly, by an acquiror or when the hospital, physician or physician group, or ancillary provider enters into a management, comanagement, professional services, leasing, joint venture, or similar agreement or arrangement with an acquiror. In the event such an event occurs, the acquiror shall notify the health carrier 90 days in advance, or as soon as reasonably possible of any such acquisition or arrangement.</w:t>
      </w:r>
    </w:p>
    <w:p>
      <w:pPr>
        <w:spacing w:before="0" w:after="0" w:line="408" w:lineRule="exact"/>
        <w:ind w:left="0" w:right="0" w:firstLine="576"/>
        <w:jc w:val="left"/>
      </w:pPr>
      <w:r>
        <w:rPr/>
        <w:t xml:space="preserve">(6) For health plans issued or renewed on or after January 1, 2024, a contract between a health carrier and a hospital or any affiliate of a hospital shall include an attestation signed by the carrier and the hospital or any affiliate of the hospital, attesting that the contract negotiations did not include discussion of or agreement to any of the contract provisions prohibited under this section.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or affiliates of a hospital owned or controlled by the same single entity.</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or an affiliate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provisions of section 2 of this act apply to a self-funded group health plan governed by the provisions of the federal employee retirement income security act of 1974 (29 U.S.C. Sec. 1001 et seq.) only if the self-funded group health plan elects to participate in the provisions of section 2 of this act through actions including, but not limited to, direction to any entity administering their group health plan. To elect to participate in these provisions, the self-funded group health plan may provide notice to the commissioner in a manner prescribed by the commissioner, attesting to the plan's participation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in collaboration with the office of the attorney general, shall study regulatory approaches used by other states to address affordability of health plan rates and the impact of anticompetitive behaviors on health care affordability. The study should focus on approaches outside of the traditional health plan rate review such as that required by the affordable care act, and shall include, for each state reported on:</w:t>
      </w:r>
    </w:p>
    <w:p>
      <w:pPr>
        <w:spacing w:before="0" w:after="0" w:line="408" w:lineRule="exact"/>
        <w:ind w:left="0" w:right="0" w:firstLine="576"/>
        <w:jc w:val="left"/>
      </w:pPr>
      <w:r>
        <w:rPr/>
        <w:t xml:space="preserve">(a) The statutory and regulatory authority for the state's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(2) The insurance commissioner may contract with a third party to conduct all or any portion of the study.</w:t>
      </w:r>
    </w:p>
    <w:p>
      <w:pPr>
        <w:spacing w:before="0" w:after="0" w:line="408" w:lineRule="exact"/>
        <w:ind w:left="0" w:right="0" w:firstLine="576"/>
        <w:jc w:val="left"/>
      </w:pPr>
      <w:r>
        <w:rPr/>
        <w:t xml:space="preserve">(3) The insurance commissioner and the office of the attorney general shall submit a report and any recommendations to the relevant policy and fiscal committees of the legislature by December 1, 2023.</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2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7007723c6b9143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ab6f74b0a5443b" /><Relationship Type="http://schemas.openxmlformats.org/officeDocument/2006/relationships/footer" Target="/word/footer1.xml" Id="R7007723c6b9143f7" /></Relationships>
</file>