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741c2e1f64a38" /></Relationships>
</file>

<file path=word/document.xml><?xml version="1.0" encoding="utf-8"?>
<w:document xmlns:w="http://schemas.openxmlformats.org/wordprocessingml/2006/main">
  <w:body>
    <w:p>
      <w:r>
        <w:t>S-1279.1</w:t>
      </w:r>
    </w:p>
    <w:p>
      <w:pPr>
        <w:jc w:val="center"/>
      </w:pPr>
      <w:r>
        <w:t>_______________________________________________</w:t>
      </w:r>
    </w:p>
    <w:p/>
    <w:p>
      <w:pPr>
        <w:jc w:val="center"/>
      </w:pPr>
      <w:r>
        <w:rPr>
          <w:b/>
        </w:rPr>
        <w:t>SUBSTITUTE SENATE BILL 5412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Salomon, Liias, Kuderer, Lovelett, Mullet, and Pedersen)</w:t>
      </w:r>
    </w:p>
    <w:p/>
    <w:p>
      <w:r>
        <w:rPr>
          <w:t xml:space="preserve">READ FIRST TIME 02/08/23.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local governments' land use permitting workloads, by ensuring objective and timely design review for housing and other land use proposals within cities and counties and allowing proposed housing within urban growth boundaries to rely on environmental reviews completed at the comprehensive planning level; amending RCW 36.70B.160 and 43.21C.229;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(3) The provisions of subsection (2) of this section do not apply to development regulations that apply only to structures listed in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 within the meaning of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 </w:t>
      </w:r>
      <w:r>
        <w:rPr>
          <w:u w:val="single"/>
        </w:rPr>
        <w:t xml:space="preserve">and objective</w:t>
      </w:r>
      <w:r>
        <w:rPr/>
        <w:t xml:space="preserve"> review and ensure accountability to applicants and the public, including expedited review for project permit applications for projects that are consistent with adopted development regulations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permitted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w:t>
      </w:r>
      <w:r>
        <w:t>((</w:t>
      </w:r>
      <w:r>
        <w:rPr>
          <w:strike/>
        </w:rPr>
        <w:t xml:space="preserve"> An exemption adopted under this section applies even if it differs from the categorical exemptions adopted by rule of the department under RCW 43.21C.110(1)(a).</w:t>
      </w:r>
      <w:r>
        <w:t>))</w:t>
      </w:r>
      <w:r>
        <w:rPr/>
        <w:t xml:space="preserve"> An exemption may be adopted by a city or county under this </w:t>
      </w:r>
      <w:r>
        <w:rPr>
          <w:u w:val="single"/>
        </w:rPr>
        <w:t xml:space="preserve">sub</w:t>
      </w:r>
      <w:r>
        <w:rPr/>
        <w:t xml:space="preserve">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the incorporated areas in an urban growth area designated pursuant to RCW 36.70A.110 or middle housing within the unincorporated areas in an urban growth area designated pursuant to RCW 36.70A.110, and that meet the criteria identified in (a) and (b) of this subsection, are categorically exempt from the requirements of this chapter. This categorical exemption applies to proposed projects that do not have existing or anticipated transportation system safety or operational deficiencies including all modes where a plan to correct these deficiencies does not exist consistent with RCW 36.70A.070. A city or county must consult with the Washington state department of transportation to determine if anticipated transportation system safety or operation deficiencies exist in connection with a proposed project. For purposes of this subsection, "middle housing" means fourplexes, attached and detached accessory dwelling units, cottage housing, stacked flats, townhouses with more than four units, and courtyard apartments. A project action is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 The city or county's applicable comprehensive plan was previously subjected to environmental analysis under the requirements of this chapter prior to adoption</w:t>
      </w:r>
      <w:r>
        <w:rPr>
          <w:u w:val="single"/>
        </w:rPr>
        <w:t xml:space="preserve">.</w:t>
      </w:r>
    </w:p>
    <w:p>
      <w:pPr>
        <w:spacing w:before="0" w:after="0" w:line="408" w:lineRule="exact"/>
        <w:ind w:left="0" w:right="0" w:firstLine="576"/>
        <w:jc w:val="left"/>
      </w:pPr>
      <w:r>
        <w:rPr>
          <w:u w:val="single"/>
        </w:rPr>
        <w:t xml:space="preserve">(4) Any categorical exemption adopted by a city or county under this section applies even if it differs from the categorical exemptions adopted by rule of the department under RCW 43.21C.110(1)(a). However, any</w:t>
      </w:r>
      <w:r>
        <w:rPr/>
        <w:t xml:space="preserve"> categorical exemption adopted by a city or county under this section shall be subject to the rules of the department adopted according to RCW 43.21C.110(1)(a) that provide exceptions to the use of categorical exemptions adopted by the department.</w:t>
      </w:r>
    </w:p>
    <w:p/>
    <w:p>
      <w:pPr>
        <w:jc w:val="center"/>
      </w:pPr>
      <w:r>
        <w:rPr>
          <w:b/>
        </w:rPr>
        <w:t>--- END ---</w:t>
      </w:r>
    </w:p>
    <w:sectPr>
      <w:pgNumType w:start="1"/>
      <w:footerReference xmlns:r="http://schemas.openxmlformats.org/officeDocument/2006/relationships" r:id="Ra0085ad3ebe140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be39369fa4c6a" /><Relationship Type="http://schemas.openxmlformats.org/officeDocument/2006/relationships/footer" Target="/word/footer1.xml" Id="Ra0085ad3ebe140f3" /></Relationships>
</file>