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f49c1be2a94c34" /></Relationships>
</file>

<file path=word/document.xml><?xml version="1.0" encoding="utf-8"?>
<w:document xmlns:w="http://schemas.openxmlformats.org/wordprocessingml/2006/main">
  <w:body>
    <w:p>
      <w:r>
        <w:t>S-0162.3</w:t>
      </w:r>
    </w:p>
    <w:p>
      <w:pPr>
        <w:jc w:val="center"/>
      </w:pPr>
      <w:r>
        <w:t>_______________________________________________</w:t>
      </w:r>
    </w:p>
    <w:p/>
    <w:p>
      <w:pPr>
        <w:jc w:val="center"/>
      </w:pPr>
      <w:r>
        <w:rPr>
          <w:b/>
        </w:rPr>
        <w:t>SENATE BILL 5434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C. Wilson, Frame, Hasegawa, Kuderer, Nguyen, and Saldaña</w:t>
      </w:r>
    </w:p>
    <w:p/>
    <w:p>
      <w:r>
        <w:rPr>
          <w:t xml:space="preserve">Read first time 01/18/23.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13.40.590, and 13.40.600;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young children, ages eight through 13, are less capable of making fully informed, reasoned decisions. The legislature further finds that young adults ages 18, 19, and 20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young children and to likely decrease the adult criminal legal system's involvement for young adults.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resolves to amend jurisdiction of juvenile court to include youth ages 14 through 20 by July 1, 2027.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as follows unless specified representing the:</w:t>
      </w:r>
    </w:p>
    <w:p>
      <w:pPr>
        <w:spacing w:before="0" w:after="0" w:line="408" w:lineRule="exact"/>
        <w:ind w:left="0" w:right="0" w:firstLine="576"/>
        <w:jc w:val="left"/>
      </w:pPr>
      <w:r>
        <w:rPr/>
        <w:t xml:space="preserve">(i) Juvenile rehabilitation administration;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Organizations with interests in incarcerated persons, with two representatives each representing different programs and serving different constituencies; and</w:t>
      </w:r>
    </w:p>
    <w:p>
      <w:pPr>
        <w:spacing w:before="0" w:after="0" w:line="408" w:lineRule="exact"/>
        <w:ind w:left="0" w:right="0" w:firstLine="576"/>
        <w:jc w:val="left"/>
      </w:pPr>
      <w:r>
        <w:rPr/>
        <w:t xml:space="preserve">(xvii) Organizations with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2023.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The task force shall provide recommendations and an implementation plan to expand juvenile court jurisdiction to also include persons 18, 19, and 20 years old by July 1, 2027.</w:t>
      </w:r>
    </w:p>
    <w:p>
      <w:pPr>
        <w:spacing w:before="0" w:after="0" w:line="408" w:lineRule="exact"/>
        <w:ind w:left="0" w:right="0" w:firstLine="576"/>
        <w:jc w:val="left"/>
      </w:pPr>
      <w:r>
        <w:rPr/>
        <w:t xml:space="preserve">(5) On or before December 1, 2024, the task force shall transmit a progress report to the governor and appropriate committees of the legislature regarding its proceedings.</w:t>
      </w:r>
    </w:p>
    <w:p>
      <w:pPr>
        <w:spacing w:before="0" w:after="0" w:line="408" w:lineRule="exact"/>
        <w:ind w:left="0" w:right="0" w:firstLine="576"/>
        <w:jc w:val="left"/>
      </w:pPr>
      <w:r>
        <w:rPr/>
        <w:t xml:space="preserve">(6) On or before December 1, 2025, the task force shall transmit a final report regarding the implementation plan for the expansion, including recommended legislative action, necessary funding, essential personnel and programmatic resources, measures necessary to avoid a negative impact on the state's child protection response, and specific milestones related to operations and policy, including but not limited to:</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Estimated new costs incurred to provide juvenile justice services to persons 18, 19, and 20 years old; and</w:t>
      </w:r>
    </w:p>
    <w:p>
      <w:pPr>
        <w:spacing w:before="0" w:after="0" w:line="408" w:lineRule="exact"/>
        <w:ind w:left="0" w:right="0" w:firstLine="576"/>
        <w:jc w:val="left"/>
      </w:pPr>
      <w:r>
        <w:rPr/>
        <w:t xml:space="preserve">(e)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(7)(a)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 Nonlegislative members of the task force are members of a class one group under RCW 43.03.220 and may be eligible for stipends and reasonable allowances for child and adult care reimbursement.</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(10)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w:t>
      </w:r>
      <w:r>
        <w:t>((</w:t>
      </w:r>
      <w:r>
        <w:rPr>
          <w:strike/>
        </w:rPr>
        <w:t xml:space="preserve">under the age of eight years</w:t>
      </w:r>
      <w:r>
        <w:t>))</w:t>
      </w:r>
      <w:r>
        <w:rPr/>
        <w:t xml:space="preserve"> </w:t>
      </w:r>
      <w:r>
        <w:rPr>
          <w:u w:val="single"/>
        </w:rPr>
        <w:t xml:space="preserve">age 13 and younger</w:t>
      </w:r>
      <w:r>
        <w:rPr/>
        <w:t xml:space="preserve"> are incapable of committing crime. </w:t>
      </w:r>
      <w:r>
        <w:t>((</w:t>
      </w:r>
      <w:r>
        <w:rPr>
          <w:strike/>
        </w:rPr>
        <w:t xml:space="preserve">Children of eight and under twelve years of age are presumed to be incapable of committing crime, but this presumption may be removed by proof that they have sufficient capacity to understand the act or neglect, and to know that it was wrong.</w:t>
      </w:r>
      <w:r>
        <w:t>))</w:t>
      </w:r>
      <w:r>
        <w:rPr/>
        <w:t xml:space="preserve"> </w:t>
      </w:r>
      <w:r>
        <w:rPr>
          <w:u w:val="single"/>
        </w:rPr>
        <w:t xml:space="preserve">Children of eight through 13 years of age who are charged with murder in the first or second degree are presumed to be incapable of committing crime, but this presumption may be rebutted by clear and convincing evidence that they have sufficient capacity to understand the act or neglect, and to know that it was wrong.</w:t>
      </w:r>
      <w:r>
        <w:rPr/>
        <w:t xml:space="preserve">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14</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14</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8404dc2faeb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99f859a9e4e52" /><Relationship Type="http://schemas.openxmlformats.org/officeDocument/2006/relationships/footer" Target="/word/footer1.xml" Id="R88404dc2faeb4ad0" /></Relationships>
</file>