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b680a9d144739" /></Relationships>
</file>

<file path=word/document.xml><?xml version="1.0" encoding="utf-8"?>
<w:document xmlns:w="http://schemas.openxmlformats.org/wordprocessingml/2006/main">
  <w:body>
    <w:p>
      <w:r>
        <w:t>S-1537.2</w:t>
      </w:r>
    </w:p>
    <w:p>
      <w:pPr>
        <w:jc w:val="center"/>
      </w:pPr>
      <w:r>
        <w:t>_______________________________________________</w:t>
      </w:r>
    </w:p>
    <w:p/>
    <w:p>
      <w:pPr>
        <w:jc w:val="center"/>
      </w:pPr>
      <w:r>
        <w:rPr>
          <w:b/>
        </w:rPr>
        <w:t>SUBSTITUTE SENATE BILL 5440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Dhingra, Nguyen, Saldaña, Valdez, Van De Wege, and C. Wilson; by request of Office of the Governor)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10.77.060, 10.77.068, 10.77.074, 10.77.084, 10.77.086, 10.77.088, and 10.77.092; reenacting and amending RCW 10.77.010; adding new sections to chapter 10.77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enhanced oversight and monitoring of the behavioral health status of in-custody individuals who have been referred for services related to competency to stand trial and to play a coordination role with forensic navigators, the department, and jail health services.</w:t>
      </w:r>
    </w:p>
    <w:p>
      <w:pPr>
        <w:spacing w:before="0" w:after="0" w:line="408" w:lineRule="exact"/>
        <w:ind w:left="0" w:right="0" w:firstLine="576"/>
        <w:jc w:val="left"/>
      </w:pPr>
      <w:r>
        <w:rPr>
          <w:u w:val="single"/>
        </w:rPr>
        <w:t xml:space="preserve">(4) "Clinical intervention unit" means a discrete unit in a jail or other facility designated to house pretrial defendants with behavioral health disorders who have been referred for services related to competency to stand trial under voluntary contract with the department to provide enhanced behavioral health services to these defendants.</w:t>
      </w:r>
    </w:p>
    <w:p>
      <w:pPr>
        <w:spacing w:before="0" w:after="0" w:line="408" w:lineRule="exact"/>
        <w:ind w:left="0" w:right="0" w:firstLine="576"/>
        <w:jc w:val="left"/>
      </w:pPr>
      <w:r>
        <w:rPr>
          <w:u w:val="single"/>
        </w:rPr>
        <w:t xml:space="preserve">(5)</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(16) "Genuine doubt as to competency" means that there is reasonable cause to believe, based upon actual interactions with or observations of the defendant, that a defendant is incompetent to stand trial.</w:t>
      </w:r>
    </w:p>
    <w:p>
      <w:pPr>
        <w:spacing w:before="0" w:after="0" w:line="408" w:lineRule="exact"/>
        <w:ind w:left="0" w:right="0" w:firstLine="576"/>
        <w:jc w:val="left"/>
      </w:pPr>
      <w:r>
        <w:rPr>
          <w:u w:val="single"/>
        </w:rPr>
        <w:t xml:space="preserve">(17)</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w:t>
      </w:r>
      <w:r>
        <w:rPr>
          <w:u w:val="single"/>
        </w:rPr>
        <w:t xml:space="preserve">Whenever there is a doubt as to competency, the court on its own motion or on the motion of any party shall first review the allegations of incompetency. The court shall make a determination of whether a genuine doubt as to competency exists based upon judicial colloquy or direct observation.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the evaluator shall notify the department, which shall refer the individual to the developmental disabilities administration of the department for review of eligibility for services. Information about availability of services must be provided to the evaluator and the forensic navigator,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custody of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8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 if the individual is out of custody or is released from custody as part of a diversion;</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w:t>
      </w:r>
      <w:r>
        <w:rPr>
          <w:u w:val="single"/>
        </w:rPr>
        <w:t xml:space="preserve">, and to provide updates to the court and parties of the status of the individual's participation in diversion services</w:t>
      </w:r>
      <w:r>
        <w:rPr/>
        <w:t xml:space="preserve">;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 as part of a diversion program plan;</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 and</w:t>
      </w:r>
    </w:p>
    <w:p>
      <w:pPr>
        <w:spacing w:before="0" w:after="0" w:line="408" w:lineRule="exact"/>
        <w:ind w:left="0" w:right="0" w:firstLine="576"/>
        <w:jc w:val="left"/>
      </w:pPr>
      <w:r>
        <w:rPr>
          <w:u w:val="single"/>
        </w:rPr>
        <w:t xml:space="preserve">(f)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w:t>
      </w:r>
      <w:r>
        <w:rPr>
          <w:u w:val="single"/>
        </w:rPr>
        <w:t xml:space="preserve">For a defendant in custody, the court's order shall indicate whether the court's commitment order includes the authority for the department to modify the defendant's conditions of release by transferring the defendant to a step-down or outpatient competency restoration facility if the department determines that such placement is clinically appropriate.</w:t>
      </w:r>
    </w:p>
    <w:p>
      <w:pPr>
        <w:spacing w:before="0" w:after="0" w:line="408" w:lineRule="exact"/>
        <w:ind w:left="0" w:right="0" w:firstLine="576"/>
        <w:jc w:val="left"/>
      </w:pPr>
      <w:r>
        <w:rPr>
          <w:u w:val="single"/>
        </w:rPr>
        <w:t xml:space="preserve">(d)</w:t>
      </w:r>
      <w:r>
        <w:rPr/>
        <w:t xml:space="preserve">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(f)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w:t>
      </w:r>
      <w:r>
        <w:t>((</w:t>
      </w:r>
      <w:r>
        <w:rPr>
          <w:strike/>
        </w:rPr>
        <w:t xml:space="preserve">department</w:t>
      </w:r>
      <w:r>
        <w:t>))</w:t>
      </w:r>
      <w:r>
        <w:rPr/>
        <w:t xml:space="preserve"> </w:t>
      </w:r>
      <w:r>
        <w:rPr>
          <w:u w:val="single"/>
        </w:rPr>
        <w:t xml:space="preserve">authority</w:t>
      </w:r>
      <w:r>
        <w:rPr/>
        <w:t xml:space="preserve">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w:t>
      </w:r>
      <w:r>
        <w:t>((</w:t>
      </w:r>
      <w:r>
        <w:rPr>
          <w:strike/>
        </w:rPr>
        <w:t xml:space="preserve">, for evaluation for the purpose of filing a civil commitment petition under chapter 71.05 RCW</w:t>
      </w:r>
      <w:r>
        <w:t>))</w:t>
      </w:r>
      <w:r>
        <w:rPr/>
        <w:t xml:space="preserve">.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(5)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 </w:t>
      </w:r>
      <w:r>
        <w:rPr>
          <w:u w:val="single"/>
        </w:rPr>
        <w:t xml:space="preserve">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if an outpatient competency restoration program is available in the jurisdiction and is recommended as clinically appropriate by the forensic navigator, consistent with the recommendation of the forensic navigator, unless the court finds that an order for outpatient competency restoration is clearly inappropriate considering the health and safety of the defendant, risks to public safety, and other relevant factors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custody of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court shall appoint a forensic navigator for every defendant referred for competency evaluation whose most serious charge is a nonfelony if:</w:t>
      </w:r>
    </w:p>
    <w:p>
      <w:pPr>
        <w:spacing w:before="0" w:after="0" w:line="408" w:lineRule="exact"/>
        <w:ind w:left="0" w:right="0" w:firstLine="576"/>
        <w:jc w:val="left"/>
      </w:pPr>
      <w:r>
        <w:rPr/>
        <w:t xml:space="preserve">(a) The defendant has had two or more competency evaluations in the preceding 24 months on separate charges or cause numbers; and</w:t>
      </w:r>
    </w:p>
    <w:p>
      <w:pPr>
        <w:spacing w:before="0" w:after="0" w:line="408" w:lineRule="exact"/>
        <w:ind w:left="0" w:right="0" w:firstLine="576"/>
        <w:jc w:val="left"/>
      </w:pPr>
      <w:r>
        <w:rPr/>
        <w:t xml:space="preserve">(b) The defendant's current charges are filed in a county that has a forensic navigator program.</w:t>
      </w:r>
    </w:p>
    <w:p>
      <w:pPr>
        <w:spacing w:before="0" w:after="0" w:line="408" w:lineRule="exact"/>
        <w:ind w:left="0" w:right="0" w:firstLine="576"/>
        <w:jc w:val="left"/>
      </w:pPr>
      <w:r>
        <w:rPr/>
        <w:t xml:space="preserve">(2) In each case in which a forensic navigator is appointed under subsection (1) of this section, the forensic navigator shall:</w:t>
      </w:r>
    </w:p>
    <w:p>
      <w:pPr>
        <w:spacing w:before="0" w:after="0" w:line="408" w:lineRule="exact"/>
        <w:ind w:left="0" w:right="0" w:firstLine="576"/>
        <w:jc w:val="left"/>
      </w:pPr>
      <w:r>
        <w:rPr/>
        <w:t xml:space="preserve">(a) Meet, interview, and observe the defendant and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(3) If the parties agree on the diversion program recommended by the forensic navigator, the prosecutor shall request dismissal of the criminal charges.</w:t>
      </w:r>
    </w:p>
    <w:p>
      <w:pPr>
        <w:spacing w:before="0" w:after="0" w:line="408" w:lineRule="exact"/>
        <w:ind w:left="0" w:right="0" w:firstLine="576"/>
        <w:jc w:val="left"/>
      </w:pPr>
      <w:r>
        <w:rPr/>
        <w:t xml:space="preserve">(4) If the parties do not agree on the diversion program, the defense may move the court for an order dismissing the criminal charges without prejudice and referring the defendant to the services described in the diversion program.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(5) Individuals who receive a dismissal of charges and referral to services described in a diversion program shall have a forensic navigator assigned to assist them for up to six months while engaging in the services described in the diversion program. The forensic navigator shall provide monthly status updates to the court and the parties regarding the individual's status in the diversion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w:t>
      </w:r>
      <w:r>
        <w:rPr>
          <w:u w:val="single"/>
        </w:rPr>
        <w:t xml:space="preserve">, except for criminal trespass in the first or second degree</w:t>
      </w:r>
      <w:r>
        <w:rPr/>
        <w:t xml:space="preserv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develop a program for individuals who have been involved with the criminal justice system and who are diagnosed with a developmental disability or dementia disorder. The program must involve wraparound services and housing supports appropriate to the needs of the individual. It is sufficient to meet the criteria for participation in this program if the individual has recently been the subject of criminal charges that were dismissed without prejudice and was evaluated as incompetent to stand trial due to a developmental disability or dementia disorder.</w:t>
      </w:r>
    </w:p>
    <w:p>
      <w:pPr>
        <w:spacing w:before="0" w:after="0" w:line="408" w:lineRule="exact"/>
        <w:ind w:left="0" w:right="0" w:firstLine="576"/>
        <w:jc w:val="left"/>
      </w:pPr>
      <w:r>
        <w:rPr/>
        <w:t xml:space="preserve">(2) In the event that a court orders the commitment of an individual to the custody of the department under RCW 10.77.086(5) who was found incompetent to stand trial due to a developmental disability or dementia disorder, the department shall place the individual in the program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placement is appropriate, which may include provision of supportive services to help the person maintain stability.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increase compensation for staff in outpatient competency restoration programs to ensure compensation is provided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staff of an outpatient competency restoration program must include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may contract with willing jails to fund construction and operational costs for clinical intervention units to provide enhanced oversight, monitoring, and support to in-custody individuals within the jails who have been referred for services related to competency to stand trial.</w:t>
      </w:r>
    </w:p>
    <w:p>
      <w:pPr>
        <w:spacing w:before="0" w:after="0" w:line="408" w:lineRule="exact"/>
        <w:ind w:left="0" w:right="0" w:firstLine="576"/>
        <w:jc w:val="left"/>
      </w:pPr>
      <w:r>
        <w:rPr/>
        <w:t xml:space="preserve">(2) Jails which contract with the department to provide clinical intervention units shall allow access to individuals who are participating in the program by clinical intervention specialists employed by or contracted with the department. Clinical intervention specialists shall support jail health services in providing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interface regularly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0" w:after="0" w:line="408" w:lineRule="exact"/>
        <w:ind w:left="0" w:right="0" w:firstLine="576"/>
        <w:jc w:val="left"/>
      </w:pPr>
      <w:r>
        <w:rPr/>
        <w:t xml:space="preserve">(3) To participate in a clinical intervention unit, an incarcerated individual must agree to take prescribed psychotropic medication and to engage with a clinical intervention specialist.</w:t>
      </w:r>
    </w:p>
    <w:p>
      <w:pPr>
        <w:spacing w:before="0" w:after="0" w:line="408" w:lineRule="exact"/>
        <w:ind w:left="0" w:right="0" w:firstLine="576"/>
        <w:jc w:val="left"/>
      </w:pPr>
      <w:r>
        <w:rPr/>
        <w:t xml:space="preserve">(4) The department may establish other requirements for clinical intervention units by contract or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configure its data systems related to forensic mental health services such that the systems can retrieve data about unique individual defendants reflecting the full history of criminal charges and forensic referrals relating to that individual rather than tracking referrals in such a way that cannot be tied to individual defendants.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
      <w:pPr>
        <w:jc w:val="center"/>
      </w:pPr>
      <w:r>
        <w:rPr>
          <w:b/>
        </w:rPr>
        <w:t>--- END ---</w:t>
      </w:r>
    </w:p>
    <w:sectPr>
      <w:pgNumType w:start="1"/>
      <w:footerReference xmlns:r="http://schemas.openxmlformats.org/officeDocument/2006/relationships" r:id="R92b0761820604d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39860b26b043be" /><Relationship Type="http://schemas.openxmlformats.org/officeDocument/2006/relationships/footer" Target="/word/footer1.xml" Id="R92b0761820604d77" /></Relationships>
</file>