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1003e4d57b4a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Billig, King, Nguyen, MacEwen, Mullet, Wellman, Gildon, Keiser, Shewmake, Lovick, Boehnke, Warnick, Randall, Conway, Dhingra, Dozier, Liias, Lovelett, Saldaña, Stanford, Van De Wege, and Wagoner)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43.330.570, and 70A.65.260; adding a new section to chapter 70A.535 RCW; adding new sections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in collaboration with the University of Washington's department of environmental and occupational health, must calculate emissions of ultrafine and fine particulate matter and sulfur oxides in communities surrounding an international airport owned by a port district in a county with a population greater than 1,500,000 and report that information to the joint legislative audit and review committee by December 1, 2024, and December 1st of each year until such time as the joint legislative audit and review committee has completed its final report on the tax preferences contained in sections 9 through 12 of this act. The report must include emissions data for areas near airport runways and under flight paths up to 3,000 feet in elevation. The report must also include an analysis of any reduction in emissions relative to the amount of alternative jet fuel used for flights departing the airport. Washington State University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Washington State University the total annual volume of alternative jet fuel used for flights departing the airport by October 1, 2024, and October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w:t>
      </w:r>
      <w:r>
        <w:rPr>
          <w:u w:val="single"/>
        </w:rPr>
        <w:t xml:space="preserve">The state treasurer may, subject to funds appropriated for this specific purpose, transfer from the climate commitment account to the state general fund an amount equal to any reduction in state revenue from the preferential business and occupation tax rate under section 9 of this act and credits under sections 10 through 12 of this act for the prior calendar year, as annually determined by the department of revenue.</w:t>
      </w:r>
    </w:p>
    <w:p>
      <w:pPr>
        <w:spacing w:before="0" w:after="0" w:line="408" w:lineRule="exact"/>
        <w:ind w:left="0" w:right="0" w:firstLine="576"/>
        <w:jc w:val="left"/>
      </w:pPr>
      <w:r>
        <w:rPr>
          <w:u w:val="single"/>
        </w:rPr>
        <w:t xml:space="preserve">(3)</w:t>
      </w:r>
      <w:r>
        <w:rPr/>
        <w:t xml:space="preserve">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9f115f126f7846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6fd5029cd46b0" /><Relationship Type="http://schemas.openxmlformats.org/officeDocument/2006/relationships/footer" Target="/word/footer1.xml" Id="R9f115f126f784699" /></Relationships>
</file>