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d387f8fe04ee3" /></Relationships>
</file>

<file path=word/document.xml><?xml version="1.0" encoding="utf-8"?>
<w:document xmlns:w="http://schemas.openxmlformats.org/wordprocessingml/2006/main">
  <w:body>
    <w:p>
      <w:r>
        <w:t>S-1876.1</w:t>
      </w:r>
    </w:p>
    <w:p>
      <w:pPr>
        <w:jc w:val="center"/>
      </w:pPr>
      <w:r>
        <w:t>_______________________________________________</w:t>
      </w:r>
    </w:p>
    <w:p/>
    <w:p>
      <w:pPr>
        <w:jc w:val="center"/>
      </w:pPr>
      <w:r>
        <w:rPr>
          <w:b/>
        </w:rPr>
        <w:t>SECOND SUBSTITUTE SENATE BILL 5454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Cleveland, Robinson, King, Keiser, Van De Wege, Conway, Kuderer, Liias, Nguyen, Shewmake, Stanford, and Valdez)</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w:t>
      </w:r>
    </w:p>
    <w:p>
      <w:pPr>
        <w:spacing w:before="0" w:after="0" w:line="408" w:lineRule="exact"/>
        <w:ind w:left="0" w:right="0" w:firstLine="576"/>
        <w:jc w:val="left"/>
      </w:pPr>
      <w:r>
        <w:rPr>
          <w:u w:val="single"/>
        </w:rPr>
        <w:t xml:space="preserve">(b) This subsection (3) only applies to a direct care registered nurse who has posttraumatic stress disorder that develops or manifests itself after the individual has been employed on a fully compensated basis as a direct care registered nurse in Washington state for at least 90 consecutive days. The limitation in subsection (2)(c) of this section also applies to this subsection (3).</w:t>
      </w:r>
    </w:p>
    <w:p>
      <w:pPr>
        <w:spacing w:before="0" w:after="0" w:line="408" w:lineRule="exact"/>
        <w:ind w:left="0" w:right="0" w:firstLine="576"/>
        <w:jc w:val="left"/>
      </w:pPr>
      <w:r>
        <w:rPr>
          <w:u w:val="single"/>
        </w:rPr>
        <w:t xml:space="preserve">(c)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ba67cc05d45e40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8f3aa3aed4087" /><Relationship Type="http://schemas.openxmlformats.org/officeDocument/2006/relationships/footer" Target="/word/footer1.xml" Id="Rba67cc05d45e4093" /></Relationships>
</file>