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3ac662ae4445a" /></Relationships>
</file>

<file path=word/document.xml><?xml version="1.0" encoding="utf-8"?>
<w:document xmlns:w="http://schemas.openxmlformats.org/wordprocessingml/2006/main">
  <w:body>
    <w:p>
      <w:r>
        <w:t>S-0515.1</w:t>
      </w:r>
    </w:p>
    <w:p>
      <w:pPr>
        <w:jc w:val="center"/>
      </w:pPr>
      <w:r>
        <w:t>_______________________________________________</w:t>
      </w:r>
    </w:p>
    <w:p/>
    <w:p>
      <w:pPr>
        <w:jc w:val="center"/>
      </w:pPr>
      <w:r>
        <w:rPr>
          <w:b/>
        </w:rPr>
        <w:t>SENATE BILL 5494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Kuderer, King, Lovick, Dozier, L. Wilson, Liias, Schoesler, Warnick, and Holy</w:t>
      </w:r>
    </w:p>
    <w:p/>
    <w:p>
      <w:r>
        <w:rPr>
          <w:t xml:space="preserve">Read first time 01/20/23.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value of products or the gross receipts of sales derived by class I railroads for materials required for track maintenance.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January 1, 2023.</w:t>
      </w:r>
    </w:p>
    <w:p>
      <w:pPr>
        <w:spacing w:before="0" w:after="0" w:line="408" w:lineRule="exact"/>
        <w:ind w:left="0" w:right="0" w:firstLine="576"/>
        <w:jc w:val="left"/>
      </w:pPr>
      <w:r>
        <w:rPr/>
        <w:t xml:space="preserve">(b) "Materials required for track maintenance" has the same meaning as in section 5 of this act.</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taxable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new rail development project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(b) "Qualified new rail development expenditures" means expenditures for new rail development by an eligible taxpayer, which includes the construction of new track, industrial leads, switches,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(c)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(d)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(8)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"eligible taxpayer" means:</w:t>
      </w:r>
    </w:p>
    <w:p>
      <w:pPr>
        <w:spacing w:before="0" w:after="0" w:line="408" w:lineRule="exact"/>
        <w:ind w:left="0" w:right="0" w:firstLine="576"/>
        <w:jc w:val="left"/>
      </w:pPr>
      <w:r>
        <w:rPr/>
        <w:t xml:space="preserve">(a) Any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(7)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"Materials required for track maintenance" has the same meaning as in section 5 of this act.</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taxable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new rail development project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(b) "Qualified new rail development expenditures" means expenditures for new rail development by an eligible taxpayer, which includes the construction of new track, industrial leads, switches,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(c)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(d)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 </w:t>
      </w:r>
    </w:p>
    <w:p>
      <w:pPr>
        <w:spacing w:before="0" w:after="0" w:line="408" w:lineRule="exact"/>
        <w:ind w:left="0" w:right="0" w:firstLine="576"/>
        <w:jc w:val="left"/>
      </w:pPr>
      <w:r>
        <w:rPr/>
        <w:t xml:space="preserve">(8)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"eligible taxpayer" means:</w:t>
      </w:r>
    </w:p>
    <w:p>
      <w:pPr>
        <w:spacing w:before="0" w:after="0" w:line="408" w:lineRule="exact"/>
        <w:ind w:left="0" w:right="0" w:firstLine="576"/>
        <w:jc w:val="left"/>
      </w:pPr>
      <w:r>
        <w:rPr/>
        <w:t xml:space="preserve">(a) Any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(7)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 which is to promote economic development throughout Washington.</w:t>
      </w:r>
    </w:p>
    <w:p>
      <w:pPr>
        <w:spacing w:before="0" w:after="0" w:line="408" w:lineRule="exact"/>
        <w:ind w:left="0" w:right="0" w:firstLine="576"/>
        <w:jc w:val="left"/>
      </w:pPr>
      <w:r>
        <w:rPr/>
        <w:t xml:space="preserve">(3) It is the legislature's specific public policy objective to encourage and expand economic development by incentivizing investment in Washington's railroad infrastructure.</w:t>
      </w:r>
    </w:p>
    <w:p>
      <w:pPr>
        <w:spacing w:before="0" w:after="0" w:line="408" w:lineRule="exact"/>
        <w:ind w:left="0" w:right="0" w:firstLine="576"/>
        <w:jc w:val="left"/>
      </w:pPr>
      <w:r>
        <w:rPr/>
        <w:t xml:space="preserve">(4) The legislature intends to extend the expiration date of the tax preferences in this act if a review finds that freight rail system in the state has been maintained or improved.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 and</w:t>
      </w:r>
    </w:p>
    <w:p>
      <w:pPr>
        <w:spacing w:before="0" w:after="0" w:line="408" w:lineRule="exact"/>
        <w:ind w:left="0" w:right="0" w:firstLine="576"/>
        <w:jc w:val="left"/>
      </w:pPr>
      <w:r>
        <w:rPr/>
        <w:t xml:space="preserve">(j) The amount of steel or ties deemed obsolete by a class I railroad, as defined in section 2 of this act, that are reused by a class II or class III railroad, as defined in section 5 of this act, within Washington.</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2e3b302c403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f5f2d01bb498b" /><Relationship Type="http://schemas.openxmlformats.org/officeDocument/2006/relationships/footer" Target="/word/footer1.xml" Id="R22e3b302c40348fe" /></Relationships>
</file>