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cedbff127249dd" /></Relationships>
</file>

<file path=word/document.xml><?xml version="1.0" encoding="utf-8"?>
<w:document xmlns:w="http://schemas.openxmlformats.org/wordprocessingml/2006/main">
  <w:body>
    <w:p>
      <w:r>
        <w:t>S-0415.2</w:t>
      </w:r>
    </w:p>
    <w:p>
      <w:pPr>
        <w:jc w:val="center"/>
      </w:pPr>
      <w:r>
        <w:t>_______________________________________________</w:t>
      </w:r>
    </w:p>
    <w:p/>
    <w:p>
      <w:pPr>
        <w:jc w:val="center"/>
      </w:pPr>
      <w:r>
        <w:rPr>
          <w:b/>
        </w:rPr>
        <w:t>SENATE BILL 5502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Gildon, Boehnke, Torres, J. Wilson, and L. Wilson</w:t>
      </w:r>
    </w:p>
    <w:p/>
    <w:p>
      <w:r>
        <w:rPr>
          <w:t xml:space="preserve">Read first time 01/23/23.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necessary access to substance use disorder treatment for individuals entering the graduated reentry program at the department of corrections; and amending RCW 9.94A.733.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w:t>
      </w:r>
      <w:r>
        <w:rPr>
          <w:u w:val="single"/>
        </w:rPr>
        <w:t xml:space="preserve">(a)</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u w:val="single"/>
        </w:rPr>
        <w:t xml:space="preserve">(b) The department may not transfer an offender to participate in the graduated reentry program until the department has conducted a comprehensive assessment for substance use disorder. If the assessment indicates the offender suffers from a substance use disorder, the offender may not be transferred until the offender is enrolled in and receives substance use disorder treatment services as deemed appropriate by the department. Offenders enrolled in appropriate substance use disorder treatment services and transferred to participate in the graduated reentry program must begin receiving substance use disorder treatment services as soon as practicable after transfer to avoid any delays in treatment. Substance use disorder treatment services shall include, as deemed necessary by the department, access to medication-assisted treatment and counseling programs.</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
      <w:pPr>
        <w:jc w:val="center"/>
      </w:pPr>
      <w:r>
        <w:rPr>
          <w:b/>
        </w:rPr>
        <w:t>--- END ---</w:t>
      </w:r>
    </w:p>
    <w:sectPr>
      <w:pgNumType w:start="1"/>
      <w:footerReference xmlns:r="http://schemas.openxmlformats.org/officeDocument/2006/relationships" r:id="Ra03911053a3c48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7d92019dd492c" /><Relationship Type="http://schemas.openxmlformats.org/officeDocument/2006/relationships/footer" Target="/word/footer1.xml" Id="Ra03911053a3c48b4" /></Relationships>
</file>