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e081bc62d3415d" /></Relationships>
</file>

<file path=word/document.xml><?xml version="1.0" encoding="utf-8"?>
<w:document xmlns:w="http://schemas.openxmlformats.org/wordprocessingml/2006/main">
  <w:body>
    <w:p>
      <w:r>
        <w:t>S-0545.1</w:t>
      </w:r>
    </w:p>
    <w:p>
      <w:pPr>
        <w:jc w:val="center"/>
      </w:pPr>
      <w:r>
        <w:t>_______________________________________________</w:t>
      </w:r>
    </w:p>
    <w:p/>
    <w:p>
      <w:pPr>
        <w:jc w:val="center"/>
      </w:pPr>
      <w:r>
        <w:rPr>
          <w:b/>
        </w:rPr>
        <w:t>SENATE BILL 5511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and L. Wilson</w:t>
      </w:r>
    </w:p>
    <w:p/>
    <w:p>
      <w:r>
        <w:rPr>
          <w:t xml:space="preserve">Read first time 01/23/23.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and improving the equity of K-12 education funding; amending RCW 84.52.0531, 28A.500.015, 28A.150.390, 28A.185.020, 28A.150.260, and 28A.150.260; adding a new section to chapter 28A.150 RCW; creating new sections; making an appropriation;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education equity in every zip code act or EEEZ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too many children in our state remain trapped in a system where the quality of, and access to, their education is determined by their zip code. The onset of the COVID-19 pandemic, and the nearly year long school closures that resulted, have only exacerbated this unfairness. While the legislature, in addressing </w:t>
      </w:r>
      <w:r>
        <w:rPr>
          <w:i/>
        </w:rPr>
        <w:t xml:space="preserve">the McCleary decision</w:t>
      </w:r>
      <w:r>
        <w:rPr/>
        <w:t xml:space="preserve">, made inroads by increasing state funding for basic education and decreasing reliance on local levies, this progress was significantly undermined in 2019 when the legislature raised local levy authority by 67 percent, thus returning to greater reliance on local levies to fund education and the inherent inequities in such a funding system.</w:t>
      </w:r>
    </w:p>
    <w:p>
      <w:pPr>
        <w:spacing w:before="0" w:after="0" w:line="408" w:lineRule="exact"/>
        <w:ind w:left="0" w:right="0" w:firstLine="576"/>
        <w:jc w:val="left"/>
      </w:pPr>
      <w:r>
        <w:rPr/>
        <w:t xml:space="preserve">(2) The legislature finds that it is appropriate and necessary to reduce the reliance on local levies in our school system and accordingly to significantly increase the state's basic education funding in ways that will address these funding and educational inequities. Eliminating a system where a child's quality of, and access to, education is tied to their zip code is the equity issue of our time and critical to our state's future and the future of our children.</w:t>
      </w:r>
    </w:p>
    <w:p>
      <w:pPr>
        <w:spacing w:before="0" w:after="0" w:line="408" w:lineRule="exact"/>
        <w:ind w:left="0" w:right="0" w:firstLine="576"/>
        <w:jc w:val="left"/>
      </w:pPr>
      <w:r>
        <w:rPr/>
        <w:t xml:space="preserve">(3) This act makes permanent enhancements to the basic education funding formula that will increase equity including: Increasing special education funding; lowering class sizes for vocational education classes and skills centers; and enhancing access to and funding for gifted education programs. Schools serving a high percentage of low-income students are aided with greater funding for the learning assistance program, and property-poor districts receive increased state funding for local effort assistance to alleviate inequities with their wealthier counterparts. These funding increases will lead to more level access across the state to critical and fundamental services for students.</w:t>
      </w:r>
    </w:p>
    <w:p>
      <w:pPr>
        <w:spacing w:before="0" w:after="0" w:line="408" w:lineRule="exact"/>
        <w:ind w:left="0" w:right="0" w:firstLine="576"/>
        <w:jc w:val="left"/>
      </w:pPr>
      <w:r>
        <w:rPr/>
        <w:t xml:space="preserve">(4) The legislature further takes notice that the COVID-19 pandemic, and the nearly year long absence from in-person learning that occurred, has taken a significant toll on the academic progress of our children. The most recent state assessment found that only one in three students are at grade level in both reading and math. The figures are significantly worse for lower-income, special education, and Native American, black, and Hispanic students. Under this act, schools are incentivized to choose innovative methods, including a balanced school calendar or increased instructional hours, to improve student performance.</w:t>
      </w:r>
    </w:p>
    <w:p>
      <w:pPr>
        <w:spacing w:before="0" w:after="0" w:line="408" w:lineRule="exact"/>
        <w:ind w:left="0" w:right="0" w:firstLine="576"/>
        <w:jc w:val="left"/>
      </w:pPr>
      <w:r>
        <w:rPr/>
        <w:t xml:space="preserve">(5) The legislature intends with the education equity in every zip code act to remedy the infirmities in the present system and assist students, regardless of their zip code, to achieve their highest potential.</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ENRICHMENT LEVY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2024</w:t>
      </w:r>
      <w:r>
        <w:rPr/>
        <w:t xml:space="preserve">,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$2,500</w:t>
      </w:r>
      <w:r>
        <w:rPr/>
        <w:t xml:space="preserve">, as increased by inflation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or</w:t>
      </w:r>
    </w:p>
    <w:p>
      <w:pPr>
        <w:spacing w:before="0" w:after="0" w:line="408" w:lineRule="exact"/>
        <w:ind w:left="0" w:right="0" w:firstLine="576"/>
        <w:jc w:val="left"/>
      </w:pPr>
      <w:r>
        <w:rPr/>
        <w:t xml:space="preserve">(ii) </w:t>
      </w:r>
      <w:r>
        <w:t>((</w:t>
      </w:r>
      <w:r>
        <w:rPr>
          <w:strike/>
        </w:rPr>
        <w:t xml:space="preserve">Three thousand dollars</w:t>
      </w:r>
      <w:r>
        <w:t>))</w:t>
      </w:r>
      <w:r>
        <w:rPr/>
        <w:t xml:space="preserve"> </w:t>
      </w:r>
      <w:r>
        <w:rPr>
          <w:u w:val="single"/>
        </w:rPr>
        <w:t xml:space="preserve">$3,000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as follows:</w:t>
      </w:r>
    </w:p>
    <w:p>
      <w:pPr>
        <w:spacing w:before="0" w:after="0" w:line="408" w:lineRule="exact"/>
        <w:ind w:left="0" w:right="0" w:firstLine="576"/>
        <w:jc w:val="left"/>
      </w:pPr>
      <w:r>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LOCAL EFFORT ASSISTANCE ENHANCEMENT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2022 c 108 s 4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 multiplied by a fraction equal to the school district's actual enrichment levy rate divided by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(b) For an eligible school district with an actual enrichment levy rate that is equal to </w:t>
      </w:r>
      <w:r>
        <w:t>((</w:t>
      </w:r>
      <w:r>
        <w:rPr>
          <w:strike/>
        </w:rPr>
        <w:t xml:space="preserve">or greater than 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 thousand five hundred fifty dollars</w:t>
      </w:r>
      <w:r>
        <w:t>))</w:t>
      </w:r>
      <w:r>
        <w:rPr/>
        <w:t xml:space="preserve"> </w:t>
      </w:r>
      <w:r>
        <w:rPr>
          <w:u w:val="single"/>
        </w:rPr>
        <w:t xml:space="preserve">$2,000</w:t>
      </w:r>
      <w:r>
        <w:rPr/>
        <w:t xml:space="preserve">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(d)(i) Beginning in calendar year 2024,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$2,000 as increased by inflation from the 2019 calendar year, multiplied by the student enrollment of the charter school in the prior school year.</w:t>
      </w:r>
    </w:p>
    <w:p>
      <w:pPr>
        <w:spacing w:before="0" w:after="0" w:line="408" w:lineRule="exact"/>
        <w:ind w:left="0" w:right="0" w:firstLine="576"/>
        <w:jc w:val="left"/>
      </w:pPr>
      <w:r>
        <w:rPr>
          <w:u w:val="single"/>
        </w:rPr>
        <w:t xml:space="preserve">(ii)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w:t>
      </w:r>
      <w:r>
        <w:t>((</w:t>
      </w:r>
      <w:r>
        <w:rPr>
          <w:strike/>
        </w:rPr>
        <w:t xml:space="preserve">one dollar and fifty cents</w:t>
      </w:r>
      <w:r>
        <w:t>))</w:t>
      </w:r>
      <w:r>
        <w:rPr/>
        <w:t xml:space="preserve"> </w:t>
      </w:r>
      <w:r>
        <w:rPr>
          <w:u w:val="single"/>
        </w:rPr>
        <w:t xml:space="preserve">$1.50</w:t>
      </w:r>
      <w:r>
        <w:rPr/>
        <w:t xml:space="preserve"> per </w:t>
      </w:r>
      <w:r>
        <w:t>((</w:t>
      </w:r>
      <w:r>
        <w:rPr>
          <w:strike/>
        </w:rPr>
        <w:t xml:space="preserve">thousand dollars</w:t>
      </w:r>
      <w:r>
        <w:t>))</w:t>
      </w:r>
      <w:r>
        <w:rPr/>
        <w:t xml:space="preserve"> </w:t>
      </w:r>
      <w:r>
        <w:rPr>
          <w:u w:val="single"/>
        </w:rPr>
        <w:t xml:space="preserve">$1,000</w:t>
      </w:r>
      <w:r>
        <w:rPr/>
        <w:t xml:space="preserve">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 except as follows:</w:t>
      </w:r>
    </w:p>
    <w:p>
      <w:pPr>
        <w:spacing w:before="0" w:after="0" w:line="408" w:lineRule="exact"/>
        <w:ind w:left="0" w:right="0" w:firstLine="576"/>
        <w:jc w:val="left"/>
      </w:pPr>
      <w:r>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t xml:space="preserve">(ii) In the 2023 calendar year, if 2019-20 school year average annual full-time equivalent enrollment is greater than the school district's 2021-22 school year average annual full-time equivalent enrollment, "prior school year" means the 2019-20 school year.</w:t>
      </w:r>
    </w:p>
    <w:p>
      <w:pPr>
        <w:spacing w:before="0" w:after="0" w:line="408" w:lineRule="exact"/>
        <w:ind w:left="0" w:right="0" w:firstLine="576"/>
        <w:jc w:val="left"/>
      </w:pPr>
      <w:r>
        <w:rPr/>
        <w:t xml:space="preserve">(e) "State local effort assistance threshold" means </w:t>
      </w:r>
      <w:r>
        <w:t>((</w:t>
      </w:r>
      <w:r>
        <w:rPr>
          <w:strike/>
        </w:rPr>
        <w:t xml:space="preserve">one thousand five hundred fifty dollars</w:t>
      </w:r>
      <w:r>
        <w:t>))</w:t>
      </w:r>
      <w:r>
        <w:rPr/>
        <w:t xml:space="preserve"> </w:t>
      </w:r>
      <w:r>
        <w:rPr>
          <w:u w:val="single"/>
        </w:rPr>
        <w:t xml:space="preserve">$2,000</w:t>
      </w:r>
      <w:r>
        <w:rPr/>
        <w:t xml:space="preserve">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YEAR-ROUND SCHOOL CALENDAR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supplemental allocations to each school district, charter school, or state-tribal education compact school that implements a year-round school calendar in an amount equal to the school district's or school's base allocation per full-time equivalent student, multiplied by the school district's or school's annual average full-time equivalent student enrollment, multiplied by 0.05.</w:t>
      </w:r>
    </w:p>
    <w:p>
      <w:pPr>
        <w:spacing w:before="0" w:after="0" w:line="408" w:lineRule="exact"/>
        <w:ind w:left="0" w:right="0" w:firstLine="576"/>
        <w:jc w:val="left"/>
      </w:pPr>
      <w:r>
        <w:rPr/>
        <w:t xml:space="preserve">(2) For purposes of this section, a year-round school calendar is a calendar that provides instructional days over the course of a 12-month period.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RECOVERY AND ACCELERATION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administer grants for the purposes of learning recovery and acceleration.</w:t>
      </w:r>
    </w:p>
    <w:p>
      <w:pPr>
        <w:spacing w:before="0" w:after="0" w:line="408" w:lineRule="exact"/>
        <w:ind w:left="0" w:right="0" w:firstLine="576"/>
        <w:jc w:val="left"/>
      </w:pPr>
      <w:r>
        <w:rPr/>
        <w:t xml:space="preserve">(2) Allowable uses of the funds are limited to targeted high quality tutoring and rigorous extended learning programs.</w:t>
      </w:r>
    </w:p>
    <w:p>
      <w:pPr>
        <w:spacing w:before="0" w:after="0" w:line="408" w:lineRule="exact"/>
        <w:ind w:left="0" w:right="0" w:firstLine="576"/>
        <w:jc w:val="left"/>
      </w:pPr>
      <w:r>
        <w:rPr/>
        <w:t xml:space="preserve">(3) The sum of $46,570,000, or as much thereof as may be necessary, is appropriated for the fiscal biennium ending June 30, 2025, from the elementary and secondary school emergency relief III federal account to the office of the superintendent of public instruction for the purposes of this section.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establish the state matching grant program for learning recovery and acceleration.</w:t>
      </w:r>
    </w:p>
    <w:p>
      <w:pPr>
        <w:spacing w:before="0" w:after="0" w:line="408" w:lineRule="exact"/>
        <w:ind w:left="0" w:right="0" w:firstLine="576"/>
        <w:jc w:val="left"/>
      </w:pPr>
      <w:r>
        <w:rPr/>
        <w:t xml:space="preserve">(2) The purpose of the grant program is to provide state matching funds to schools and school districts that choose to use the elementary and secondary school emergency relief III federal account subgrant allocations attributable to section 2001(e)(2) of the American rescue plan act of 2021, P.L. 117-2 on targeted high quality tutoring and rigorous extended learning programs.</w:t>
      </w:r>
    </w:p>
    <w:p>
      <w:pPr>
        <w:spacing w:before="0" w:after="0" w:line="408" w:lineRule="exact"/>
        <w:ind w:left="0" w:right="0" w:firstLine="576"/>
        <w:jc w:val="left"/>
      </w:pPr>
      <w:r>
        <w:rPr/>
        <w:t xml:space="preserve">(3) The amount of state matching funds shall be 50 percent of the amount schools and school districts use from the elementary and secondary school emergency relief III federal account on targeted high quality tutoring and rigorous extended learning programs.</w:t>
      </w:r>
    </w:p>
    <w:p>
      <w:pPr>
        <w:spacing w:before="0" w:after="0" w:line="408" w:lineRule="exact"/>
        <w:ind w:left="0" w:right="0" w:firstLine="576"/>
        <w:jc w:val="left"/>
      </w:pPr>
      <w:r>
        <w:rPr/>
        <w:t xml:space="preserve">(4)(a) School districts, charter schools, and state-tribal education compact schools may apply for the state matching funds.</w:t>
      </w:r>
    </w:p>
    <w:p>
      <w:pPr>
        <w:spacing w:before="0" w:after="0" w:line="408" w:lineRule="exact"/>
        <w:ind w:left="0" w:right="0" w:firstLine="576"/>
        <w:jc w:val="left"/>
      </w:pPr>
      <w:r>
        <w:rPr/>
        <w:t xml:space="preserve">(b) Applicants are eligible for these state matching funds if they only use the funding they receive from the elementary and secondary school emergency relief III federal account on either targeted high quality tutoring or rigorous extended learning programs, or both, in the 2023-24 school year.</w:t>
      </w:r>
    </w:p>
    <w:p>
      <w:pPr>
        <w:spacing w:before="0" w:after="0" w:line="408" w:lineRule="exact"/>
        <w:ind w:left="0" w:right="0" w:firstLine="576"/>
        <w:jc w:val="left"/>
      </w:pPr>
      <w:r>
        <w:rPr/>
        <w:t xml:space="preserve">(c) Funding priority shall be given to school districts, charter schools, and state-tribal education compact schools that have the lowest percentage of students meeting grade level standards as measured by the English language arts and mathematics results of the smarter balanced assessments or any other statewide student assessment.</w:t>
      </w:r>
    </w:p>
    <w:p>
      <w:pPr>
        <w:spacing w:before="0" w:after="0" w:line="408" w:lineRule="exact"/>
        <w:ind w:left="0" w:right="0" w:firstLine="576"/>
        <w:jc w:val="left"/>
      </w:pPr>
      <w:r>
        <w:rPr/>
        <w:t xml:space="preserve">(5) The office of the superintendent of public instruction may adopt rules for the grant program established under this section.</w:t>
      </w:r>
    </w:p>
    <w:p>
      <w:pPr>
        <w:spacing w:before="0" w:after="0" w:line="408" w:lineRule="exact"/>
        <w:ind w:left="0" w:right="0" w:firstLine="576"/>
        <w:jc w:val="left"/>
      </w:pPr>
      <w:r>
        <w:rPr/>
        <w:t xml:space="preserve">(6) This section expires December 31, 2024.</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w:t>
      </w:r>
      <w:r>
        <w:rPr>
          <w:u w:val="single"/>
        </w:rPr>
        <w:t xml:space="preserve">school</w:t>
      </w:r>
      <w:r>
        <w:rPr/>
        <w:t xml:space="preserve"> district's annual average headcount enrollment of students ages three and four and those five year olds not yet enrolled in kindergarten who are eligible for and receiving special education, multiplied by the </w:t>
      </w:r>
      <w:r>
        <w:rPr>
          <w:u w:val="single"/>
        </w:rPr>
        <w:t xml:space="preserve">school</w:t>
      </w:r>
      <w:r>
        <w:rPr/>
        <w:t xml:space="preserv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w:t>
      </w:r>
      <w:r>
        <w:rPr>
          <w:u w:val="single"/>
        </w:rPr>
        <w:t xml:space="preserve">school</w:t>
      </w:r>
      <w:r>
        <w:rPr/>
        <w:t xml:space="preserve"> district's annual average enrollment of resident students who are eligible for and receiving special education, excluding students ages three and four and those five year olds not yet enrolled in kindergarten, multiplied by the </w:t>
      </w:r>
      <w:r>
        <w:rPr>
          <w:u w:val="single"/>
        </w:rPr>
        <w:t xml:space="preserve">school</w:t>
      </w:r>
      <w:r>
        <w:rPr/>
        <w:t xml:space="preserv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w:t>
      </w:r>
      <w:r>
        <w:t>((</w:t>
      </w:r>
      <w:r>
        <w:rPr>
          <w:strike/>
        </w:rPr>
        <w:t xml:space="preserve">the</w:t>
      </w:r>
      <w:r>
        <w:t>))</w:t>
      </w:r>
      <w:r>
        <w:rPr/>
        <w:t xml:space="preserve"> </w:t>
      </w:r>
      <w:r>
        <w:rPr>
          <w:u w:val="single"/>
        </w:rPr>
        <w:t xml:space="preserve">a school district has an average annual full-time equivalent basic education enrollment of 500 or more students and its</w:t>
      </w:r>
      <w:r>
        <w:rPr/>
        <w:t xml:space="preserv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w:t>
      </w:r>
      <w:r>
        <w:rPr>
          <w:u w:val="single"/>
        </w:rPr>
        <w:t xml:space="preserve">school</w:t>
      </w:r>
      <w:r>
        <w:rPr/>
        <w:t xml:space="preserve"> district generated by the distribution formula under RCW 28A.150.260 (4)(a), (5), (6), and (8) and the allocation under RCW 28A.150.415, to be divided by the </w:t>
      </w:r>
      <w:r>
        <w:rPr>
          <w:u w:val="single"/>
        </w:rPr>
        <w:t xml:space="preserve">school</w:t>
      </w:r>
      <w:r>
        <w:rPr/>
        <w:t xml:space="preserv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w:t>
      </w:r>
      <w:r>
        <w:rPr>
          <w:u w:val="single"/>
        </w:rPr>
        <w:t xml:space="preserve">school</w:t>
      </w:r>
      <w:r>
        <w:rPr/>
        <w:t xml:space="preserve"> district enrolled as part of an interdistrict cooperative program under RCW 28A.225.250.</w:t>
      </w:r>
    </w:p>
    <w:p>
      <w:pPr>
        <w:spacing w:before="0" w:after="0" w:line="408" w:lineRule="exact"/>
        <w:ind w:left="0" w:right="0" w:firstLine="576"/>
        <w:jc w:val="left"/>
      </w:pPr>
      <w:r>
        <w:rPr/>
        <w:t xml:space="preserve">(c) "Enrollment percent" means the </w:t>
      </w:r>
      <w:r>
        <w:rPr>
          <w:u w:val="single"/>
        </w:rPr>
        <w:t xml:space="preserve">school</w:t>
      </w:r>
      <w:r>
        <w:rPr/>
        <w:t xml:space="preserv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w:t>
      </w:r>
      <w:r>
        <w:rPr>
          <w:u w:val="single"/>
        </w:rPr>
        <w:t xml:space="preserve">school</w:t>
      </w:r>
      <w:r>
        <w:rPr/>
        <w:t xml:space="preserv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5.0</w:t>
      </w:r>
      <w:r>
        <w:t>))</w:t>
      </w:r>
      <w:r>
        <w:rPr/>
        <w:t xml:space="preserve"> </w:t>
      </w:r>
      <w:r>
        <w:rPr>
          <w:u w:val="single"/>
        </w:rPr>
        <w:t xml:space="preserve">7.0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w:t>
      </w:r>
      <w:r>
        <w:rPr>
          <w:u w:val="single"/>
        </w:rPr>
        <w:t xml:space="preserve">school</w:t>
      </w:r>
      <w:r>
        <w:rPr/>
        <w:t xml:space="preserve"> district. 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w:t>
      </w:r>
      <w:r>
        <w:t>((</w:t>
      </w:r>
      <w:r>
        <w:rPr>
          <w:strike/>
        </w:rPr>
        <w:t xml:space="preserve">23.00</w:t>
      </w:r>
      <w:r>
        <w:t>))</w:t>
      </w:r>
      <w:r>
        <w:rPr/>
        <w:t xml:space="preserve"> </w:t>
      </w:r>
      <w:r>
        <w:rPr>
          <w:u w:val="single"/>
        </w:rPr>
        <w:t xml:space="preserve">19.00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w:t>
      </w:r>
      <w:r>
        <w:t>((</w:t>
      </w:r>
      <w:r>
        <w:rPr>
          <w:strike/>
        </w:rPr>
        <w:t xml:space="preserve">1.1</w:t>
      </w:r>
      <w:r>
        <w:t>))</w:t>
      </w:r>
      <w:r>
        <w:rPr/>
        <w:t xml:space="preserve"> </w:t>
      </w:r>
      <w:r>
        <w:rPr>
          <w:u w:val="single"/>
        </w:rPr>
        <w:t xml:space="preserve">1.15</w:t>
      </w:r>
      <w:r>
        <w:rPr/>
        <w:t xml:space="preserve">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5.0</w:t>
      </w:r>
      <w:r>
        <w:t>))</w:t>
      </w:r>
      <w:r>
        <w:rPr/>
        <w:t xml:space="preserve"> </w:t>
      </w:r>
      <w:r>
        <w:rPr>
          <w:u w:val="single"/>
        </w:rPr>
        <w:t xml:space="preserve">7.0</w:t>
      </w:r>
      <w:r>
        <w:rPr/>
        <w:t xml:space="preserve">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w:t>
      </w:r>
      <w:r>
        <w:t>((</w:t>
      </w:r>
      <w:r>
        <w:rPr>
          <w:strike/>
        </w:rPr>
        <w:t xml:space="preserve">23.00</w:t>
      </w:r>
      <w:r>
        <w:t>))</w:t>
      </w:r>
      <w:r>
        <w:rPr/>
        <w:t xml:space="preserve"> </w:t>
      </w:r>
      <w:r>
        <w:rPr>
          <w:u w:val="single"/>
        </w:rPr>
        <w:t xml:space="preserve">19.00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w:t>
      </w:r>
      <w:r>
        <w:t>((</w:t>
      </w:r>
      <w:r>
        <w:rPr>
          <w:strike/>
        </w:rPr>
        <w:t xml:space="preserve">1.1</w:t>
      </w:r>
      <w:r>
        <w:t>))</w:t>
      </w:r>
      <w:r>
        <w:rPr/>
        <w:t xml:space="preserve"> </w:t>
      </w:r>
      <w:r>
        <w:rPr>
          <w:u w:val="single"/>
        </w:rPr>
        <w:t xml:space="preserve">1.15</w:t>
      </w:r>
      <w:r>
        <w:rPr/>
        <w:t xml:space="preserve"> hours per week in extra instruction with a class size of </w:t>
      </w:r>
      <w:r>
        <w:t>((</w:t>
      </w:r>
      <w:r>
        <w:rPr>
          <w:strike/>
        </w:rPr>
        <w:t xml:space="preserve">fifteen</w:t>
      </w:r>
      <w:r>
        <w:t>))</w:t>
      </w:r>
      <w:r>
        <w:rPr/>
        <w:t xml:space="preserve"> </w:t>
      </w:r>
      <w:r>
        <w:rPr>
          <w:u w:val="single"/>
        </w:rPr>
        <w:t xml:space="preserve">12</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5.0</w:t>
      </w:r>
      <w:r>
        <w:t>))</w:t>
      </w:r>
      <w:r>
        <w:rPr/>
        <w:t xml:space="preserve"> </w:t>
      </w:r>
      <w:r>
        <w:rPr>
          <w:u w:val="single"/>
        </w:rPr>
        <w:t xml:space="preserve">7.0</w:t>
      </w:r>
      <w:r>
        <w:rPr/>
        <w:t xml:space="preserve">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September 1, 2024.</w:t>
      </w:r>
    </w:p>
    <w:p/>
    <w:p>
      <w:pPr>
        <w:jc w:val="center"/>
      </w:pPr>
      <w:r>
        <w:rPr>
          <w:b/>
        </w:rPr>
        <w:t>--- END ---</w:t>
      </w:r>
    </w:p>
    <w:sectPr>
      <w:pgNumType w:start="1"/>
      <w:footerReference xmlns:r="http://schemas.openxmlformats.org/officeDocument/2006/relationships" r:id="Re088ccbdbdb7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379028f4c45de" /><Relationship Type="http://schemas.openxmlformats.org/officeDocument/2006/relationships/footer" Target="/word/footer1.xml" Id="Re088ccbdbdb74fd2" /></Relationships>
</file>