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ee5a3059814fc9" /></Relationships>
</file>

<file path=word/document.xml><?xml version="1.0" encoding="utf-8"?>
<w:document xmlns:w="http://schemas.openxmlformats.org/wordprocessingml/2006/main">
  <w:body>
    <w:p>
      <w:r>
        <w:t>S-0644.3</w:t>
      </w:r>
    </w:p>
    <w:p>
      <w:pPr>
        <w:jc w:val="center"/>
      </w:pPr>
      <w:r>
        <w:t>_______________________________________________</w:t>
      </w:r>
    </w:p>
    <w:p/>
    <w:p>
      <w:pPr>
        <w:jc w:val="center"/>
      </w:pPr>
      <w:r>
        <w:rPr>
          <w:b/>
        </w:rPr>
        <w:t>SENATE BILL 5526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Muzzall, Cleveland, Hunt, Keiser, Liias, Pedersen, Salomon, Shewmake, Valdez, and Warnick</w:t>
      </w:r>
    </w:p>
    <w:p/>
    <w:p>
      <w:r>
        <w:rPr>
          <w:t xml:space="preserve">Read first time 01/23/23.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facility rates; amending RCW 74.46.501 and 74.46.561;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2021 c 334 s 992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Except during the 2021-2023 fiscal biennium,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Except during the 2021-2023 fiscal biennium,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t xml:space="preserve">(d) The department shall establish a methodology to use the case mix to set the direct care component </w:t>
      </w:r>
      <w:r>
        <w:t>((</w:t>
      </w:r>
      <w:r>
        <w:rPr>
          <w:strike/>
        </w:rPr>
        <w:t xml:space="preserve">[rate]</w:t>
      </w:r>
      <w:r>
        <w:t>))</w:t>
      </w:r>
      <w:r>
        <w:rPr/>
        <w:t xml:space="preserve"> </w:t>
      </w:r>
      <w:r>
        <w:rPr>
          <w:u w:val="single"/>
        </w:rPr>
        <w:t xml:space="preserve">rate</w:t>
      </w:r>
      <w:r>
        <w:rPr/>
        <w:t xml:space="preserve"> in the 2021-2023 fiscal biennium.</w:t>
      </w:r>
    </w:p>
    <w:p>
      <w:pPr>
        <w:spacing w:before="0" w:after="0" w:line="408" w:lineRule="exact"/>
        <w:ind w:left="0" w:right="0" w:firstLine="576"/>
        <w:jc w:val="left"/>
      </w:pPr>
      <w:r>
        <w:rPr>
          <w:u w:val="single"/>
        </w:rPr>
        <w:t xml:space="preserve">(e) The department may adjust the calculation of case mix as necessary in the event the federal department of health and human services discontinues or changes the provision of the minimum data set 3.0 for the purposes of calculating resource utilization groups as referenced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w:t>
      </w:r>
      <w:r>
        <w:t>((</w:t>
      </w:r>
      <w:r>
        <w:rPr>
          <w:strike/>
        </w:rPr>
        <w:t xml:space="preserve">one hundred</w:t>
      </w:r>
      <w:r>
        <w:t>))</w:t>
      </w:r>
      <w:r>
        <w:rPr/>
        <w:t xml:space="preserve"> </w:t>
      </w:r>
      <w:r>
        <w:rPr>
          <w:u w:val="single"/>
        </w:rPr>
        <w:t xml:space="preserve">111</w:t>
      </w:r>
      <w:r>
        <w:rPr/>
        <w:t xml:space="preserve"> percent or greater of statewide case mix neutral median costs, but for fiscal year 2023 shall be capped so that a nursing home provider's direct care rate does not exceed 165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w:t>
      </w:r>
      <w:r>
        <w:t>((</w:t>
      </w:r>
      <w:r>
        <w:rPr>
          <w:strike/>
        </w:rPr>
        <w:t xml:space="preserve">of ninety percent</w:t>
      </w:r>
      <w:r>
        <w:t>))</w:t>
      </w:r>
      <w:r>
        <w:rPr/>
        <w:t xml:space="preserve"> </w:t>
      </w:r>
      <w:r>
        <w:rPr>
          <w:u w:val="single"/>
        </w:rPr>
        <w:t xml:space="preserve">equal to 105 percent of the statewide average occupancy of the calendar year prior to the beginning of the fiscal year</w:t>
      </w:r>
      <w:r>
        <w:rPr/>
        <w:t xml:space="preserve"> must be applied to indirect care, except during fiscal year 2023 when the minimum occupancy assumption must be 75 percent. </w:t>
      </w:r>
      <w:r>
        <w:rPr>
          <w:u w:val="single"/>
        </w:rPr>
        <w:t xml:space="preserve">Only facilities used to calculate the median will be used to calculate the statewide average occupancy.</w:t>
      </w:r>
      <w:r>
        <w:rPr/>
        <w:t xml:space="preserve"> Indirect care must be paid at a fixed rate, based on </w:t>
      </w:r>
      <w:r>
        <w:t>((</w:t>
      </w:r>
      <w:r>
        <w:rPr>
          <w:strike/>
        </w:rPr>
        <w:t xml:space="preserve">ninety</w:t>
      </w:r>
      <w:r>
        <w:t>))</w:t>
      </w:r>
      <w:r>
        <w:rPr/>
        <w:t xml:space="preserve"> </w:t>
      </w:r>
      <w:r>
        <w:rPr>
          <w:u w:val="single"/>
        </w:rPr>
        <w:t xml:space="preserve">92</w:t>
      </w:r>
      <w:r>
        <w:rPr/>
        <w:t xml:space="preserve">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w:t>
      </w:r>
      <w:r>
        <w:t>((</w:t>
      </w:r>
      <w:r>
        <w:rPr>
          <w:strike/>
        </w:rPr>
        <w:t xml:space="preserve">in even-numbered years</w:t>
      </w:r>
      <w:r>
        <w:t>))</w:t>
      </w:r>
      <w:r>
        <w:rPr/>
        <w:t xml:space="preserve"> </w:t>
      </w:r>
      <w:r>
        <w:rPr>
          <w:u w:val="single"/>
        </w:rPr>
        <w:t xml:space="preserve">annually</w:t>
      </w:r>
      <w:r>
        <w:rPr/>
        <w:t xml:space="preserve">, beginning with rates paid on July 1, </w:t>
      </w:r>
      <w:r>
        <w:t>((</w:t>
      </w:r>
      <w:r>
        <w:rPr>
          <w:strike/>
        </w:rPr>
        <w:t xml:space="preserve">2016</w:t>
      </w:r>
      <w:r>
        <w:t>))</w:t>
      </w:r>
      <w:r>
        <w:rPr/>
        <w:t xml:space="preserve"> </w:t>
      </w:r>
      <w:r>
        <w:rPr>
          <w:u w:val="single"/>
        </w:rPr>
        <w:t xml:space="preserve">2023</w:t>
      </w:r>
      <w:r>
        <w:rPr/>
        <w:t xml:space="preserve">. </w:t>
      </w:r>
      <w:r>
        <w:t>((</w:t>
      </w:r>
      <w:r>
        <w:rPr>
          <w:strike/>
        </w:rPr>
        <w:t xml:space="preserve">Rates paid on July 1, 2016, must be based on the 2014 calendar year cost report.</w:t>
      </w:r>
      <w:r>
        <w:t>))</w:t>
      </w:r>
      <w:r>
        <w:rPr/>
        <w:t xml:space="preserve">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w:t>
      </w:r>
      <w:r>
        <w:t>((</w:t>
      </w:r>
      <w:r>
        <w:rPr>
          <w:strike/>
        </w:rPr>
        <w:t xml:space="preserve">It is the intention of the legislature that direct and indirect care rates paid in fiscal year 2022 will be rebased using the calendar year 2019 cost reports. For fiscal year 2021</w:t>
      </w:r>
      <w:r>
        <w:t>))</w:t>
      </w:r>
      <w:r>
        <w:rPr/>
        <w:t xml:space="preserve"> </w:t>
      </w:r>
      <w:r>
        <w:rPr>
          <w:u w:val="single"/>
        </w:rPr>
        <w:t xml:space="preserve">Beginning July 1, 2023</w:t>
      </w:r>
      <w:r>
        <w:rPr/>
        <w:t xml:space="preserve">, in addition to the rates generated by (a) of this subsection, an additional adjustment is provided as established in this subsection (8)(b). </w:t>
      </w:r>
      <w:r>
        <w:t>((</w:t>
      </w:r>
      <w:r>
        <w:rPr>
          <w:strike/>
        </w:rPr>
        <w:t xml:space="preserve">Beginning May 1, 2020, and through June 30, 2021, the</w:t>
      </w:r>
      <w:r>
        <w:t>))</w:t>
      </w:r>
      <w:r>
        <w:rPr/>
        <w:t xml:space="preserve"> </w:t>
      </w:r>
      <w:r>
        <w:rPr>
          <w:u w:val="single"/>
        </w:rPr>
        <w:t xml:space="preserve">The</w:t>
      </w:r>
      <w:r>
        <w:rPr/>
        <w:t xml:space="preserve"> calendar year costs must be adjusted for inflation by </w:t>
      </w:r>
      <w:r>
        <w:t>((</w:t>
      </w:r>
      <w:r>
        <w:rPr>
          <w:strike/>
        </w:rPr>
        <w:t xml:space="preserve">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strike/>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r>
        <w:t>))</w:t>
      </w:r>
      <w:r>
        <w:rPr/>
        <w:t xml:space="preserve"> </w:t>
      </w:r>
      <w:r>
        <w:rPr>
          <w:u w:val="single"/>
        </w:rPr>
        <w:t xml:space="preserve">the skilled nursing facility four quarter moving average percent change for the most recent quarter from the annual market basket index as published by the centers for medicare and medicaid services and utilized for the prospective payment systems in the federal register</w:t>
      </w:r>
      <w:r>
        <w:rPr/>
        <w:t xml:space="preserve">.</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w:t>
      </w:r>
      <w:r>
        <w:t>((</w:t>
      </w:r>
      <w:r>
        <w:rPr>
          <w:strike/>
        </w:rPr>
        <w:t xml:space="preserve">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r>
        <w:t>))</w:t>
      </w:r>
      <w:r>
        <w:rPr/>
        <w:t xml:space="preserve"> </w:t>
      </w:r>
      <w:r>
        <w:rPr>
          <w:u w:val="single"/>
        </w:rPr>
        <w:t xml:space="preserve">(a) On an individual facility basis, the department shall annually review the direct care rate on June 30th compared to the direct care rate on July 1st to determine the annual direct care rate increase over the previous fiscal year. Beginning July 1, 2023, 29 percent of a facility's annual direct care rate increase over the previous fiscal year's direct care rate shall be allocated solely to address low-wage equity for low-wage direct care workers.</w:t>
      </w:r>
    </w:p>
    <w:p>
      <w:pPr>
        <w:spacing w:before="0" w:after="0" w:line="408" w:lineRule="exact"/>
        <w:ind w:left="0" w:right="0" w:firstLine="576"/>
        <w:jc w:val="left"/>
      </w:pPr>
      <w:r>
        <w:rPr>
          <w:u w:val="single"/>
        </w:rPr>
        <w:t xml:space="preserve">(b) For the purpose of this subsection, "low-wage direct care workers" means certified nursing assistants, dietary workers, laundry workers, medical assistants, nursing assistants registered, cooks, feeding assistants, activity assistants, medical technicians, bath aides, medical records assistants, rehabilitation and restorative aides, social workers and those who work in social services, and other workers who provide direct care to residents and who do not have a managerial role. This allocation shall not be used to fund agency staffing. This allocation shall not be used to fund overtime costs above the regular rate of pay.</w:t>
      </w:r>
    </w:p>
    <w:p>
      <w:pPr>
        <w:spacing w:before="0" w:after="0" w:line="408" w:lineRule="exact"/>
        <w:ind w:left="0" w:right="0" w:firstLine="576"/>
        <w:jc w:val="left"/>
      </w:pPr>
      <w:r>
        <w:rPr>
          <w:u w:val="single"/>
        </w:rPr>
        <w:t xml:space="preserve">(11)(a) On an individual facility basis, the department shall annually review the indirect care rate on June 30th compared to the indirect care rate on July 1st to determine the annual indirect care rate increase over the previous fiscal year. Beginning July 1, 2023, 10 percent of a facility's annual indirect care rate increase over the previous fiscal year's indirect rate shall be allocated solely to address low-wage equity for low-wage indirect care workers.</w:t>
      </w:r>
    </w:p>
    <w:p>
      <w:pPr>
        <w:spacing w:before="0" w:after="0" w:line="408" w:lineRule="exact"/>
        <w:ind w:left="0" w:right="0" w:firstLine="576"/>
        <w:jc w:val="left"/>
      </w:pPr>
      <w:r>
        <w:rPr>
          <w:u w:val="single"/>
        </w:rPr>
        <w:t xml:space="preserve">(b) For the purpose of this subsection, "low-wage indirect care workers" means central supply workers; housekeeping workers; subcontracted housekeeping workers; reception workers; staffing coordinators; building maintenance workers; transportation, facilities, and maintenance workers; and other workers not providing direct care to residents and who do not have a managerial role.</w:t>
      </w:r>
    </w:p>
    <w:p>
      <w:pPr>
        <w:spacing w:before="0" w:after="0" w:line="408" w:lineRule="exact"/>
        <w:ind w:left="0" w:right="0" w:firstLine="576"/>
        <w:jc w:val="left"/>
      </w:pPr>
      <w:r>
        <w:rPr>
          <w:u w:val="single"/>
        </w:rPr>
        <w:t xml:space="preserve">(12)(a) Annually, each facility shall report to the department the average wage and the hourly wage range for low-wage direct care workers and low-wage indirect care workers referenced in subsections (10) and (11) of this section. The department shall provide a verification and recovery process on funds allocated to low-wage direct care and low-wage indirect care worker wages by performing a comparative analysis from one year to the next and validating that each provider has increased average wages for one or more designated low-wage worker categories included in subsections (10)(b) and (11)(b) of this section by no less than the facility-specific amounts the provider received solely for low-wage equity. The verification and recovery process in this subsection is a distinct and separate process from the settlement process described in RCW 74.46.022.</w:t>
      </w:r>
    </w:p>
    <w:p>
      <w:pPr>
        <w:spacing w:before="0" w:after="0" w:line="408" w:lineRule="exact"/>
        <w:ind w:left="0" w:right="0" w:firstLine="576"/>
        <w:jc w:val="left"/>
      </w:pPr>
      <w:r>
        <w:rPr>
          <w:u w:val="single"/>
        </w:rPr>
        <w:t xml:space="preserve">(b) Funds recovered through this verification and recovery process shall be reinvested into the quality incentive component in subsection (6) of this section as determined by the department in collaboration with appropriate stakeholders.</w:t>
      </w:r>
    </w:p>
    <w:p>
      <w:pPr>
        <w:spacing w:before="0" w:after="0" w:line="408" w:lineRule="exact"/>
        <w:ind w:left="0" w:right="0" w:firstLine="576"/>
        <w:jc w:val="left"/>
      </w:pPr>
      <w:r>
        <w:rPr>
          <w:u w:val="single"/>
        </w:rPr>
        <w:t xml:space="preserve">(c) In its use of data collected on facility-specific wages of low-wage workers, the department must conform to the safe harbor guidelines outlined by the United States department of justice and the federal trade commission. Data must be aggregated so that no single facility can be identified, each statistic reported must have at least five companies reporting data, and no single company should represent more than 25 percent of any statistic reported. The individual facility wage data reported to the department for the purposes of this subsection and subsections (10) and (11) of this section is not subject to disclosure under the public records act in chapter 42.56 RCW. The consolidated findings from the verification and recovery process are subject to disclosure under the public records act in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convene a stakeholder work group comprised of the two statewide nursing home associations and the labor organization that represents long-term care workers to study the impacts of the low-wage funding provided under RCW 74.46.561. Specifically, the study shall include a review of whether the low-wage funding has, overall, improved the ability of facilities to retain staff in the affected categories and whether the low-wage funding has enabled the facilities to attract and hire additional low-wage staff.</w:t>
      </w:r>
    </w:p>
    <w:p>
      <w:pPr>
        <w:spacing w:before="0" w:after="0" w:line="408" w:lineRule="exact"/>
        <w:ind w:left="0" w:right="0" w:firstLine="576"/>
        <w:jc w:val="left"/>
      </w:pPr>
      <w:r>
        <w:rPr/>
        <w:t xml:space="preserve">(2) As part of this study, the stakeholder work group shall review and determine if a portion of the low-wage worker funding, or additional and separate enhanced funding, should be allocated specifically for low-wage worker benefits such as child care, transportation, medical insurance, or retirement benefits.</w:t>
      </w:r>
    </w:p>
    <w:p>
      <w:pPr>
        <w:spacing w:before="0" w:after="0" w:line="408" w:lineRule="exact"/>
        <w:ind w:left="0" w:right="0" w:firstLine="576"/>
        <w:jc w:val="left"/>
      </w:pPr>
      <w:r>
        <w:rPr/>
        <w:t xml:space="preserve">(3) By December 1, 2025, the department shall submit a report to the appropriate committees of the legislature that contains the results of the study and includes recommendations for expanding the use of low-wage worker funding, or applying new funds, to support the provision of benefits to these affected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a7b6fead0cd49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178b852ac5485b" /><Relationship Type="http://schemas.openxmlformats.org/officeDocument/2006/relationships/footer" Target="/word/footer1.xml" Id="R8a7b6fead0cd4958" /></Relationships>
</file>