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2ba66bc1d4209" /></Relationships>
</file>

<file path=word/document.xml><?xml version="1.0" encoding="utf-8"?>
<w:document xmlns:w="http://schemas.openxmlformats.org/wordprocessingml/2006/main">
  <w:body>
    <w:p>
      <w:r>
        <w:t>S-1840.1</w:t>
      </w:r>
    </w:p>
    <w:p>
      <w:pPr>
        <w:jc w:val="center"/>
      </w:pPr>
      <w:r>
        <w:t>_______________________________________________</w:t>
      </w:r>
    </w:p>
    <w:p/>
    <w:p>
      <w:pPr>
        <w:jc w:val="center"/>
      </w:pPr>
      <w:r>
        <w:rPr>
          <w:b/>
        </w:rPr>
        <w:t>SECOND SUBSTITUTE SENATE BILL 5532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King, Cleveland, Lovelett, Warnick,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January 1, 2024, through December 31, 2028, payments for recipients eligible for medical assistance programs under this chapter for acute care services provided by a hospital, regardless of the beneficiary's managed care enrollment status, shall be increased to 120 percent of the hospital's fee-for-service rate for inpatient services and 200 percent of the hospital's fee-for-service rate for outpatient services,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 and</w:t>
      </w:r>
    </w:p>
    <w:p>
      <w:pPr>
        <w:spacing w:before="0" w:after="0" w:line="408" w:lineRule="exact"/>
        <w:ind w:left="0" w:right="0" w:firstLine="576"/>
        <w:jc w:val="left"/>
      </w:pPr>
      <w:r>
        <w:rPr>
          <w:u w:val="single"/>
        </w:rPr>
        <w:t xml:space="preserve">(c) Is located on the land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760d7f9d2c4841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10e02fa714064" /><Relationship Type="http://schemas.openxmlformats.org/officeDocument/2006/relationships/footer" Target="/word/footer1.xml" Id="R760d7f9d2c484105" /></Relationships>
</file>