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7bdceed2634a4f" /></Relationships>
</file>

<file path=word/document.xml><?xml version="1.0" encoding="utf-8"?>
<w:document xmlns:w="http://schemas.openxmlformats.org/wordprocessingml/2006/main">
  <w:body>
    <w:p>
      <w:r>
        <w:t>S-0756.1</w:t>
      </w:r>
    </w:p>
    <w:p>
      <w:pPr>
        <w:jc w:val="center"/>
      </w:pPr>
      <w:r>
        <w:t>_______________________________________________</w:t>
      </w:r>
    </w:p>
    <w:p/>
    <w:p>
      <w:pPr>
        <w:jc w:val="center"/>
      </w:pPr>
      <w:r>
        <w:rPr>
          <w:b/>
        </w:rPr>
        <w:t>SENATE BILL 5532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Cleveland, Lovelett, Warnick, and Wellman</w:t>
      </w:r>
    </w:p>
    <w:p/>
    <w:p>
      <w:r>
        <w:rPr>
          <w:t xml:space="preserve">Read first time 01/23/23.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2023, payments for recipients eligible for medical assistance programs under this chapter for acute care services provided by a hospital, regardless of the beneficiary's managed care enrollment status, shall be made based on allowable costs incurred during the year when services are provided by a hospital that:</w:t>
      </w:r>
    </w:p>
    <w:p>
      <w:pPr>
        <w:spacing w:before="0" w:after="0" w:line="408" w:lineRule="exact"/>
        <w:ind w:left="0" w:right="0" w:firstLine="576"/>
        <w:jc w:val="left"/>
      </w:pPr>
      <w:r>
        <w:rPr>
          <w:u w:val="single"/>
        </w:rPr>
        <w:t xml:space="preserve">(a) Is not currently designated as a critical access hospital, and does not meet current federal eligibility requirements for designation as a critical access hospital; and</w:t>
      </w:r>
    </w:p>
    <w:p>
      <w:pPr>
        <w:spacing w:before="0" w:after="0" w:line="408" w:lineRule="exact"/>
        <w:ind w:left="0" w:right="0" w:firstLine="576"/>
        <w:jc w:val="left"/>
      </w:pPr>
      <w:r>
        <w:rPr>
          <w:u w:val="single"/>
        </w:rPr>
        <w:t xml:space="preserve">(b) Has medicaid inpatient days greater than 50 percent of all hospital inpatient days as reported on the hospital's most recently filed medicare cost report with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8ebb9b1526348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2b5659ae34c1c" /><Relationship Type="http://schemas.openxmlformats.org/officeDocument/2006/relationships/footer" Target="/word/footer1.xml" Id="Rc8ebb9b15263488a" /></Relationships>
</file>