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41f4c55cf4d69" /></Relationships>
</file>

<file path=word/document.xml><?xml version="1.0" encoding="utf-8"?>
<w:document xmlns:w="http://schemas.openxmlformats.org/wordprocessingml/2006/main">
  <w:body>
    <w:p>
      <w:r>
        <w:t>S-1344.3</w:t>
      </w:r>
    </w:p>
    <w:p>
      <w:pPr>
        <w:jc w:val="center"/>
      </w:pPr>
      <w:r>
        <w:t>_______________________________________________</w:t>
      </w:r>
    </w:p>
    <w:p/>
    <w:p>
      <w:pPr>
        <w:jc w:val="center"/>
      </w:pPr>
      <w:r>
        <w:rPr>
          <w:b/>
        </w:rPr>
        <w:t>SUBSTITUTE SENATE BILL 5536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Robinson, Lovick, Rolfes, Mullet, Dhingra, Billig, Hasegawa, Keiser, Kuderer, Liias, Lovelett, Nobles, Randall, Stanford,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69.50.509, 69.50.4121, 9.96.060, 36.70A.200, 71.24.590, and 84.36.043; amending 2021 c 311 s 29 (uncodified); adding new sections to chapter 69.50 RCW; adding a new section to chapter 43.330 RCW; adding a new section to chapter 26.12 RCW; adding new sections to chapter 71.24 RCW; adding new sections to chapter 43.216 RCW; creating new sections; repealing RCW 10.31.115; prescribing penalties;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disorders are a public health issue. Solutions must address not only the criminal legal response, but be data-driven, evidence-based, and represent best practices, working directly with people who use drugs to prevent overdose and infectious disease transmission, and improve the physical, mental, and social well-being of those served. The state must follow principles of harm reduction, which means practical strategies aimed at reducing negative consequences associated with drug use. Harm reduction involves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finds that the recommendations of the substance use recovery services advisory committee reflect hours of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of this section, the court shall advise the defendant of the pretrial diversion program as indicated in section 9(1)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t>((</w:t>
      </w:r>
      <w:r>
        <w:rPr>
          <w:strike/>
        </w:rPr>
        <w:t xml:space="preserve">any person who violates this section is guilty of a class C felony punishable under chapter 9A.20 RCW</w:t>
      </w:r>
      <w:r>
        <w:t>))</w:t>
      </w:r>
      <w:r>
        <w:rPr/>
        <w:t xml:space="preserve"> </w:t>
      </w:r>
      <w:r>
        <w:rPr>
          <w:u w:val="single"/>
        </w:rPr>
        <w:t xml:space="preserve">a violation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this section, the court shall advise the defendant of the availability of the pretrial diversion program as indicated in section 9(1)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advise the defendant of the availability of the pretrial diversion program as indicated in section 9(1)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In lieu of jail booking and referral to the prosecutor for a violation of this section involving knowing possession,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(d) Upon arraignment for a violation of this section involving knowing possession, the court shall advise the defendant of the availability of the pretrial diversion program as indicated in section 9(1)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of </w:t>
      </w:r>
      <w:r>
        <w:rPr>
          <w:u w:val="single"/>
        </w:rPr>
        <w:t xml:space="preserve">public health supplies, including</w:t>
      </w:r>
      <w:r>
        <w:rPr/>
        <w:t xml:space="preserve"> injection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and pharmacies.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240" w:after="0" w:line="408" w:lineRule="exact"/>
        <w:ind w:left="0" w:right="0" w:firstLine="576"/>
        <w:jc w:val="center"/>
      </w:pPr>
      <w:r>
        <w:rPr>
          <w:b/>
        </w:rPr>
        <w:t xml:space="preserve">Part III - Creating a Pretrial Diversion Program for Individuals Charged with Possession and Vacating Possession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For any charged violation of RCW 69.50.4011(1)(b), 69.50.4013, 69.50.4014, or 69.41.030, the court shall advise the defendant and his or her attorney of the pretrial diversion program. This notification must include all of the following:</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69.50.4011(1)(b), 69.50.4013, 69.50.4014, or 69.41.030 that is charged, provided that the defendant pleads not guilty to the charge or charges, waives the right to a speedy trial and that upon the defendant's successful completion of the program, as specified in subsection (9)(d) of this section, the positive recommendation of the program authority and motion of the defendant, prosecuting attorney, the court, or the probation department, but no sooner than 12 months and no later than 18 months from the date of the defendant's referral to the program, the court must dismiss the charge or charges against the defendant;</w:t>
      </w:r>
    </w:p>
    <w:p>
      <w:pPr>
        <w:spacing w:before="0" w:after="0" w:line="408" w:lineRule="exact"/>
        <w:ind w:left="0" w:right="0" w:firstLine="576"/>
        <w:jc w:val="left"/>
      </w:pPr>
      <w:r>
        <w:rPr/>
        <w:t xml:space="preserve">(d) A clear statement that if the defendant has not meaningfully engaged with services provided that are appropriate to the defendant's circumstances, the prosecuting attorney may make a motion to terminate pretrial diversion and schedule further proceedings as otherwise provided in this section; and</w:t>
      </w:r>
    </w:p>
    <w:p>
      <w:pPr>
        <w:spacing w:before="0" w:after="0" w:line="408" w:lineRule="exact"/>
        <w:ind w:left="0" w:right="0" w:firstLine="576"/>
        <w:jc w:val="left"/>
      </w:pPr>
      <w:r>
        <w:rPr/>
        <w:t xml:space="preserve">(e) An explanation of criminal record retention and disposition resulting from participation in the pretrial diversion program and the defendant's rights relative to answering questions about his or her arrest and pretrial diversion following successful completion of the program.</w:t>
      </w:r>
    </w:p>
    <w:p>
      <w:pPr>
        <w:spacing w:before="0" w:after="0" w:line="408" w:lineRule="exact"/>
        <w:ind w:left="0" w:right="0" w:firstLine="576"/>
        <w:jc w:val="left"/>
      </w:pPr>
      <w:r>
        <w:rPr/>
        <w:t xml:space="preserve">(2) Upon a motion of the defendant and agreement to waive his or her right to a speedy trial if granted pretrial diversion, the court may grant the motion and continue the hearing and refer the defendant for an assessment by any substance use disorder treatment program as designated in chapter 71.24 RCW.</w:t>
      </w:r>
    </w:p>
    <w:p>
      <w:pPr>
        <w:spacing w:before="0" w:after="0" w:line="408" w:lineRule="exact"/>
        <w:ind w:left="0" w:right="0" w:firstLine="576"/>
        <w:jc w:val="left"/>
      </w:pPr>
      <w:r>
        <w:rPr/>
        <w:t xml:space="preserve">(3) The treatment program must make a written report to the court stating its findings and recommendations after the examination. The report shall be filed under seal, and the court shall endeavor to avoid public discussion of circumstances, history, or diagnoses that could be embarrassing or stigmatizing to the defendant.</w:t>
      </w:r>
    </w:p>
    <w:p>
      <w:pPr>
        <w:spacing w:before="0" w:after="0" w:line="408" w:lineRule="exact"/>
        <w:ind w:left="0" w:right="0" w:firstLine="576"/>
        <w:jc w:val="left"/>
      </w:pPr>
      <w:r>
        <w:rPr/>
        <w:t xml:space="preserve">(4) The report with the treatment or service plan must be filed with the court and a copy given to the prosecutor, the defendant, and the defendant's counsel.</w:t>
      </w:r>
    </w:p>
    <w:p>
      <w:pPr>
        <w:spacing w:before="0" w:after="0" w:line="408" w:lineRule="exact"/>
        <w:ind w:left="0" w:right="0" w:firstLine="576"/>
        <w:jc w:val="left"/>
      </w:pPr>
      <w:r>
        <w:rPr/>
        <w:t xml:space="preserve">(5) Subject to the availability of funds appropriated for this purpose, the assessment and recommended services or treatment must be provided at no cost for individuals who have been found to be indigent by the court.</w:t>
      </w:r>
    </w:p>
    <w:p>
      <w:pPr>
        <w:spacing w:before="0" w:after="0" w:line="408" w:lineRule="exact"/>
        <w:ind w:left="0" w:right="0" w:firstLine="576"/>
        <w:jc w:val="left"/>
      </w:pPr>
      <w:r>
        <w:rPr/>
        <w:t xml:space="preserve">(6) No statement, or any information procured therefrom relating to the charge for which the defendant is receiving treatment or services, made by the defendant to any treatment or service provider, that is made during the course of any assessment or services provided by the treatment program pursuant to subsections (2) through (4) of this section,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(7)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(8)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(9)(a) If it appears to the prosecuting attorney that the defendant is not meaningfully engaging in the recommended treatment or services, that the defendant is convicted of an offense that reflects the defendant's propensity for violence, or that the defendant is convicted of a felony,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meaningfully engaging in the recommended treatment or services, or the court finds that the defendant has been convicted of an intervening crime as indicated in (a) of this subsection, the court must schedule the matter for further proceedings.</w:t>
      </w:r>
    </w:p>
    <w:p>
      <w:pPr>
        <w:spacing w:before="0" w:after="0" w:line="408" w:lineRule="exact"/>
        <w:ind w:left="0" w:right="0" w:firstLine="576"/>
        <w:jc w:val="left"/>
      </w:pPr>
      <w:r>
        <w:rPr/>
        <w:t xml:space="preserve">(d) If the defendant has successfully completed pretrial diversion, including meaningful engagement with recommended treatment or services, at the end of that period, the criminal possession charge or charges must be dismissed.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An individual who is convicted of a violation of RCW 69.50.4011(1)(b), 69.50.4013, 69.50.4014, or 69.41.030 who subsequently engages with a substance use disorder treatment program as designated in chapter 71.24 RCW may file proof of meaningful engagement with the court. Upon verification that the individual has meaningfully engaged with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health care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 </w:t>
      </w:r>
      <w:r>
        <w:t>((</w:t>
      </w:r>
      <w:r>
        <w:rPr>
          <w:strike/>
        </w:rPr>
        <w:t xml:space="preserve">and</w:t>
      </w:r>
      <w:r>
        <w:t>))</w:t>
      </w:r>
    </w:p>
    <w:p>
      <w:pPr>
        <w:spacing w:before="0" w:after="0" w:line="408" w:lineRule="exact"/>
        <w:ind w:left="0" w:right="0" w:firstLine="576"/>
        <w:jc w:val="left"/>
      </w:pPr>
      <w:r>
        <w:rPr/>
        <w:t xml:space="preserve">(b) </w:t>
      </w:r>
      <w:r>
        <w:rPr>
          <w:u w:val="single"/>
        </w:rPr>
        <w:t xml:space="preserve">Is either a mobile or fixed-site medication unit; and</w:t>
      </w:r>
    </w:p>
    <w:p>
      <w:pPr>
        <w:spacing w:before="0" w:after="0" w:line="408" w:lineRule="exact"/>
        <w:ind w:left="0" w:right="0" w:firstLine="576"/>
        <w:jc w:val="left"/>
      </w:pPr>
      <w:r>
        <w:rPr>
          <w:u w:val="single"/>
        </w:rPr>
        <w:t xml:space="preserve">(c)</w:t>
      </w:r>
      <w:r>
        <w:rPr/>
        <w:t xml:space="preserve">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programs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programs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Providing Legal Advocacy for Parents and Families Affected by Substance Use Disorders in Dependency and Child Custody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parenting plan or child custody proceeding in which the court determines that a child's parent, guardian, or custodian is affected by substance use disorders, mental health disorders, or behavioral health concerns such that it leaves the parent, guardian, or custodian unable to adequately represent his or her own interests or his or her parental rights may be restricted, either by way of long-term supervision or limited contact with the child, the parent, guardian, or custodian may have the right to court-appointed counsel. In determining whether to appoint counsel, the court must consider the financial ability of the parties, the degree such disorder impacts the ability of the parent, guardian, or custodian to understand the proceedings and represent their own interests, and any professional assessment or evaluation or any other evidence submitted to the court on the parent, guardian, or custodian's behalf.</w:t>
      </w:r>
    </w:p>
    <w:p>
      <w:pPr>
        <w:spacing w:before="0" w:after="0" w:line="408" w:lineRule="exact"/>
        <w:ind w:left="0" w:right="0" w:firstLine="576"/>
        <w:jc w:val="left"/>
      </w:pPr>
      <w:r>
        <w:rPr/>
        <w:t xml:space="preserve">(2) The court may, in its discretion, appoint counsel for the child or a guardian ad litem as set forth in RCW 26.09.110 and 26.09.220.</w:t>
      </w:r>
    </w:p>
    <w:p>
      <w:pPr>
        <w:spacing w:before="240" w:after="0" w:line="408" w:lineRule="exact"/>
        <w:ind w:left="0" w:right="0" w:firstLine="576"/>
        <w:jc w:val="center"/>
      </w:pPr>
      <w:r>
        <w:rPr>
          <w:b/>
        </w:rPr>
        <w:t xml:space="preserve">Part VI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 including by expansion of a revolving fund program to make loans or grants available for recovery residence operators to use for necessary capital expenses;</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17, chapter . . ., Laws of 2023 (section 17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17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17 of this act;</w:t>
      </w:r>
    </w:p>
    <w:p>
      <w:pPr>
        <w:spacing w:before="0" w:after="0" w:line="408" w:lineRule="exact"/>
        <w:ind w:left="0" w:right="0" w:firstLine="576"/>
        <w:jc w:val="left"/>
      </w:pPr>
      <w:r>
        <w:rPr/>
        <w:t xml:space="preserve">(b) The amount of annual property tax relief resulting from the tax exemption under section 17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17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17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17 of this act.</w:t>
      </w:r>
    </w:p>
    <w:p>
      <w:pPr>
        <w:spacing w:before="0" w:after="0" w:line="408" w:lineRule="exact"/>
        <w:ind w:left="0" w:right="0" w:firstLine="576"/>
        <w:jc w:val="left"/>
      </w:pPr>
      <w:r>
        <w:rPr/>
        <w:t xml:space="preserve">(5) The legislature intends to extend the expiration date of the property tax exemption under section 17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17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17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17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17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17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health care authority in consultation with the department shall develop a training for parents of children and transition age youth with substance use disorders by June 30, 2024, addressing the following:</w:t>
      </w:r>
    </w:p>
    <w:p>
      <w:pPr>
        <w:spacing w:before="0" w:after="0" w:line="408" w:lineRule="exact"/>
        <w:ind w:left="0" w:right="0" w:firstLine="576"/>
        <w:jc w:val="left"/>
      </w:pPr>
      <w:r>
        <w:rPr/>
        <w:t xml:space="preserve">(a) Science and education related to substance use disorders;</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 and</w:t>
      </w:r>
    </w:p>
    <w:p>
      <w:pPr>
        <w:spacing w:before="0" w:after="0" w:line="408" w:lineRule="exact"/>
        <w:ind w:left="0" w:right="0" w:firstLine="576"/>
        <w:jc w:val="left"/>
      </w:pPr>
      <w:r>
        <w:rPr/>
        <w:t xml:space="preserve">(d) Means to obtain opioid overdose reversal medication when appropriate and instruction on proper use.</w:t>
      </w:r>
    </w:p>
    <w:p>
      <w:pPr>
        <w:spacing w:before="0" w:after="0" w:line="408" w:lineRule="exact"/>
        <w:ind w:left="0" w:right="0" w:firstLine="576"/>
        <w:jc w:val="left"/>
      </w:pPr>
      <w:r>
        <w:rPr/>
        <w:t xml:space="preserve">(2) The health care authority and the department shall make this training publicly available and the department must promote the training to licensed foster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make opioid overdose reversal medication available for use by caseworkers or employees that may come in contact with individuals experiencing overdose and must make appropriate training available.</w:t>
      </w:r>
    </w:p>
    <w:p>
      <w:pPr>
        <w:spacing w:before="240" w:after="0" w:line="408" w:lineRule="exact"/>
        <w:ind w:left="0" w:right="0" w:firstLine="576"/>
        <w:jc w:val="center"/>
      </w:pPr>
      <w:r>
        <w:rPr>
          <w:b/>
        </w:rPr>
        <w:t xml:space="preserve">Part VIII – Data Support for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and substance use recovery services advisory committee under RCW 71.24.546 on the topic of data collection and to determine the parameters of the report, which shall include recommendations, if any, for modification and improvement of the recovery navigator program.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240" w:after="0" w:line="408" w:lineRule="exact"/>
        <w:ind w:left="0" w:right="0" w:firstLine="576"/>
        <w:jc w:val="center"/>
      </w:pPr>
      <w:r>
        <w:rPr>
          <w:b/>
        </w:rPr>
        <w:t xml:space="preserve">Part IX – Establishing Rules and Payment Structures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develop licensure standards and payment structures for health engagement hubs by January 1, 2024.</w:t>
      </w:r>
    </w:p>
    <w:p>
      <w:pPr>
        <w:spacing w:before="0" w:after="0" w:line="408" w:lineRule="exact"/>
        <w:ind w:left="0" w:right="0" w:firstLine="576"/>
        <w:jc w:val="left"/>
      </w:pPr>
      <w:r>
        <w:rPr/>
        <w:t xml:space="preserve">(2) The department shall include invited stakeholders in the rule-making process which shall include, but not be limited to, individuals from geographic regions in Washington with lower population density, eastern Washington, rural areas, and tribal nations.</w:t>
      </w:r>
    </w:p>
    <w:p>
      <w:pPr>
        <w:spacing w:before="0" w:after="0" w:line="408" w:lineRule="exact"/>
        <w:ind w:left="0" w:right="0" w:firstLine="576"/>
        <w:jc w:val="left"/>
      </w:pPr>
      <w:r>
        <w:rPr/>
        <w:t xml:space="preserve">(3) A health engagement hub:</w:t>
      </w:r>
    </w:p>
    <w:p>
      <w:pPr>
        <w:spacing w:before="0" w:after="0" w:line="408" w:lineRule="exact"/>
        <w:ind w:left="0" w:right="0" w:firstLine="576"/>
        <w:jc w:val="left"/>
      </w:pPr>
      <w:r>
        <w:rPr/>
        <w:t xml:space="preserve">(a) May be a mobile or fixed-site opioid treatment program medication unit. Fixed-site medication units may operate at sites such as hospitals, federally qualified health centers, syringe service programs, community mental health facilities, skilled nursing facilities, or other settings frequented by people who have not historically been well-served by the behavioral health treatment system;</w:t>
      </w:r>
    </w:p>
    <w:p>
      <w:pPr>
        <w:spacing w:before="0" w:after="0" w:line="408" w:lineRule="exact"/>
        <w:ind w:left="0" w:right="0" w:firstLine="576"/>
        <w:jc w:val="left"/>
      </w:pPr>
      <w:r>
        <w:rPr/>
        <w:t xml:space="preserve">(b) Provides access to methadone and other medications for opioid addiction;</w:t>
      </w:r>
    </w:p>
    <w:p>
      <w:pPr>
        <w:spacing w:before="0" w:after="0" w:line="408" w:lineRule="exact"/>
        <w:ind w:left="0" w:right="0" w:firstLine="576"/>
        <w:jc w:val="left"/>
      </w:pPr>
      <w:r>
        <w:rPr/>
        <w:t xml:space="preserve">(c) Functions as a patient-centered medical home by offering high-quality, cost-effective patient-centered care, including wound care;</w:t>
      </w:r>
    </w:p>
    <w:p>
      <w:pPr>
        <w:spacing w:before="0" w:after="0" w:line="408" w:lineRule="exact"/>
        <w:ind w:left="0" w:right="0" w:firstLine="576"/>
        <w:jc w:val="left"/>
      </w:pPr>
      <w:r>
        <w:rPr/>
        <w:t xml:space="preserve">(d) Provides harm reduction services and supplies;</w:t>
      </w:r>
    </w:p>
    <w:p>
      <w:pPr>
        <w:spacing w:before="0" w:after="0" w:line="408" w:lineRule="exact"/>
        <w:ind w:left="0" w:right="0" w:firstLine="576"/>
        <w:jc w:val="left"/>
      </w:pPr>
      <w:r>
        <w:rPr/>
        <w:t xml:space="preserve">(e) Provides linkage to housing, transportation, and other support services; and</w:t>
      </w:r>
    </w:p>
    <w:p>
      <w:pPr>
        <w:spacing w:before="0" w:after="0" w:line="408" w:lineRule="exact"/>
        <w:ind w:left="0" w:right="0" w:firstLine="576"/>
        <w:jc w:val="left"/>
      </w:pPr>
      <w:r>
        <w:rPr/>
        <w:t xml:space="preserve">(f) Is open to youth as well as adults.</w:t>
      </w:r>
    </w:p>
    <w:p>
      <w:pPr>
        <w:spacing w:before="0" w:after="0" w:line="408" w:lineRule="exact"/>
        <w:ind w:left="0" w:right="0" w:firstLine="576"/>
        <w:jc w:val="left"/>
      </w:pPr>
      <w:r>
        <w:rPr/>
        <w:t xml:space="preserve">(4) To the extent allowed under federal law, the authority shall direct medicaid managed care organizations to adopt a value-based bundled payment methodology in contracts with health engagement hubs and other opioid treatment providers.</w:t>
      </w:r>
    </w:p>
    <w:p>
      <w:pPr>
        <w:spacing w:before="0" w:after="0" w:line="408" w:lineRule="exact"/>
        <w:ind w:left="0" w:right="0" w:firstLine="576"/>
        <w:jc w:val="left"/>
      </w:pPr>
      <w:r>
        <w:rPr/>
        <w:t xml:space="preserve">(5) The authority shall make sufficient funding available to ensure that a health engagement hub is available within a two-hour drive for all communities and that there is at least one health engagement hub available per 200,000 residents in Washington state.</w:t>
      </w:r>
    </w:p>
    <w:p>
      <w:pPr>
        <w:spacing w:before="240" w:after="0" w:line="408" w:lineRule="exact"/>
        <w:ind w:left="0" w:right="0" w:firstLine="576"/>
        <w:jc w:val="center"/>
      </w:pPr>
      <w:r>
        <w:rPr>
          <w:b/>
        </w:rPr>
        <w:t xml:space="preserve">Part 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XI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department shall provide a statewide tool to map and direct individuals with behavioral health disorders to treatment and recovery support services locations. The tool shall be dynamically updated.</w:t>
      </w:r>
    </w:p>
    <w:p>
      <w:pPr>
        <w:spacing w:before="240" w:after="0" w:line="408" w:lineRule="exact"/>
        <w:ind w:left="0" w:right="0" w:firstLine="576"/>
        <w:jc w:val="center"/>
      </w:pPr>
      <w:r>
        <w:rPr>
          <w:b/>
        </w:rPr>
        <w:t xml:space="preserve">Part XII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increase investments in the 2023-2025 biennium substantially over baseline levels established in the 2021-2023 operating and capital budgets to increase the provision of evidence-based prearrest and prefiling diversion programs in all regions of the state. Services which shall be increased and included in every health purchasing region include crisis stabilization units, 23-hour crisis relief centers, mobile crisis response services for youth and adults, recovery navigator programs, and law enforcement assisted diversion.</w:t>
      </w:r>
    </w:p>
    <w:p>
      <w:pPr>
        <w:spacing w:before="0" w:after="0" w:line="408" w:lineRule="exact"/>
        <w:ind w:left="0" w:right="0" w:firstLine="576"/>
        <w:jc w:val="left"/>
      </w:pPr>
      <w:r>
        <w:rPr/>
        <w:t xml:space="preserve">(2) The appropriations in this subsection are provided to the state health care authority and are subject to the following conditions and limitations:</w:t>
      </w:r>
    </w:p>
    <w:p>
      <w:pPr>
        <w:spacing w:before="0" w:after="0" w:line="408" w:lineRule="exact"/>
        <w:ind w:left="0" w:right="0" w:firstLine="576"/>
        <w:jc w:val="left"/>
      </w:pPr>
      <w:r>
        <w:rPr/>
        <w:t xml:space="preserve">(a) The following sums, or so much thereof as may be necessary, are each appropriated: $18,114,000 from the state general fund for the fiscal year ending June 30, 2024; and $16,437,000 from the state general fund for the fiscal year ending June 30, 2025. The amounts in this subsection are provided solely for the authority to continue and expand efforts to provide opioid use disorder medication in city, county, regional, and tribal jails.</w:t>
      </w:r>
    </w:p>
    <w:p>
      <w:pPr>
        <w:spacing w:before="0" w:after="0" w:line="408" w:lineRule="exact"/>
        <w:ind w:left="0" w:right="0" w:firstLine="576"/>
        <w:jc w:val="left"/>
      </w:pPr>
      <w:r>
        <w:rPr/>
        <w:t xml:space="preserve">(b) The following sums, or so much thereof as may be necessary, are each appropriated: $3,500,000 from the state general fund for the fiscal year ending June 30, 2024; and $3,500,000 from the state general fund for the fiscal year ending June 30, 2025. The amounts in this subsection are provided solely for the authority to provide support funds to new and established clubhouses throughout the state.</w:t>
      </w:r>
    </w:p>
    <w:p>
      <w:pPr>
        <w:spacing w:before="0" w:after="0" w:line="408" w:lineRule="exact"/>
        <w:ind w:left="0" w:right="0" w:firstLine="576"/>
        <w:jc w:val="left"/>
      </w:pPr>
      <w:r>
        <w:rPr/>
        <w:t xml:space="preserve">(c) The following sums, or so much thereof as may be necessary, are each appropriated: $1,583,000 from the state general fund for the fiscal year ending June 30, 2024; and $1,583,000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240" w:after="0" w:line="408" w:lineRule="exact"/>
        <w:ind w:left="0" w:right="0" w:firstLine="576"/>
        <w:jc w:val="center"/>
      </w:pPr>
      <w:r>
        <w:rPr>
          <w:b/>
        </w:rPr>
        <w:t xml:space="preserve">Part XIII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processing intakes and to make the intake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and other individuals recommended by the authority. The work group shall present its recommendations to the governor and appropriate committees of the legislature by December 1, 2024.</w:t>
      </w:r>
    </w:p>
    <w:p>
      <w:pPr>
        <w:spacing w:before="240" w:after="0" w:line="408" w:lineRule="exact"/>
        <w:ind w:left="0" w:right="0" w:firstLine="576"/>
        <w:jc w:val="center"/>
      </w:pPr>
      <w:r>
        <w:rPr>
          <w:b/>
        </w:rPr>
        <w:t xml:space="preserve">Part XIV – Establishing the Safe-Supply Work Group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statewide safe supply work group is created.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(2) The work group membership shall consist of, but is not limited to, members appointed by the governor representing the following:</w:t>
      </w:r>
    </w:p>
    <w:p>
      <w:pPr>
        <w:spacing w:before="0" w:after="0" w:line="408" w:lineRule="exact"/>
        <w:ind w:left="0" w:right="0" w:firstLine="576"/>
        <w:jc w:val="left"/>
      </w:pPr>
      <w:r>
        <w:rPr/>
        <w:t xml:space="preserve">(a) At least one adult in recovery from substance use disorder;</w:t>
      </w:r>
    </w:p>
    <w:p>
      <w:pPr>
        <w:spacing w:before="0" w:after="0" w:line="408" w:lineRule="exact"/>
        <w:ind w:left="0" w:right="0" w:firstLine="576"/>
        <w:jc w:val="left"/>
      </w:pPr>
      <w:r>
        <w:rPr/>
        <w:t xml:space="preserve">(b) At least one youth in recovery from substance use disorder;</w:t>
      </w:r>
    </w:p>
    <w:p>
      <w:pPr>
        <w:spacing w:before="0" w:after="0" w:line="408" w:lineRule="exact"/>
        <w:ind w:left="0" w:right="0" w:firstLine="576"/>
        <w:jc w:val="left"/>
      </w:pPr>
      <w:r>
        <w:rPr/>
        <w:t xml:space="preserve">(c) One expert from the addictions, drug, and alcohol institute at the University of Washington;</w:t>
      </w:r>
    </w:p>
    <w:p>
      <w:pPr>
        <w:spacing w:before="0" w:after="0" w:line="408" w:lineRule="exact"/>
        <w:ind w:left="0" w:right="0" w:firstLine="576"/>
        <w:jc w:val="left"/>
      </w:pPr>
      <w:r>
        <w:rPr/>
        <w:t xml:space="preserve">(d) One outreach services provider;</w:t>
      </w:r>
    </w:p>
    <w:p>
      <w:pPr>
        <w:spacing w:before="0" w:after="0" w:line="408" w:lineRule="exact"/>
        <w:ind w:left="0" w:right="0" w:firstLine="576"/>
        <w:jc w:val="left"/>
      </w:pPr>
      <w:r>
        <w:rPr/>
        <w:t xml:space="preserve">(e) One substance use disorder treatment provider;</w:t>
      </w:r>
    </w:p>
    <w:p>
      <w:pPr>
        <w:spacing w:before="0" w:after="0" w:line="408" w:lineRule="exact"/>
        <w:ind w:left="0" w:right="0" w:firstLine="576"/>
        <w:jc w:val="left"/>
      </w:pPr>
      <w:r>
        <w:rPr/>
        <w:t xml:space="preserve">(f) One peer recovery services provider;</w:t>
      </w:r>
    </w:p>
    <w:p>
      <w:pPr>
        <w:spacing w:before="0" w:after="0" w:line="408" w:lineRule="exact"/>
        <w:ind w:left="0" w:right="0" w:firstLine="576"/>
        <w:jc w:val="left"/>
      </w:pPr>
      <w:r>
        <w:rPr/>
        <w:t xml:space="preserve">(g) One recovery housing provider;</w:t>
      </w:r>
    </w:p>
    <w:p>
      <w:pPr>
        <w:spacing w:before="0" w:after="0" w:line="408" w:lineRule="exact"/>
        <w:ind w:left="0" w:right="0" w:firstLine="576"/>
        <w:jc w:val="left"/>
      </w:pPr>
      <w:r>
        <w:rPr/>
        <w:t xml:space="preserve">(h) One expert in serving persons with co-occurring substance use disorders and mental health conditions;</w:t>
      </w:r>
    </w:p>
    <w:p>
      <w:pPr>
        <w:spacing w:before="0" w:after="0" w:line="408" w:lineRule="exact"/>
        <w:ind w:left="0" w:right="0" w:firstLine="576"/>
        <w:jc w:val="left"/>
      </w:pPr>
      <w:r>
        <w:rPr/>
        <w:t xml:space="preserve">(i) One expert in substance use disorder and the treatment of chronic pain patients who is a physician;</w:t>
      </w:r>
    </w:p>
    <w:p>
      <w:pPr>
        <w:spacing w:before="0" w:after="0" w:line="408" w:lineRule="exact"/>
        <w:ind w:left="0" w:right="0" w:firstLine="576"/>
        <w:jc w:val="left"/>
      </w:pPr>
      <w:r>
        <w:rPr/>
        <w:t xml:space="preserve">(j) One expert in antiracism and equity in health care delivery systems;</w:t>
      </w:r>
    </w:p>
    <w:p>
      <w:pPr>
        <w:spacing w:before="0" w:after="0" w:line="408" w:lineRule="exact"/>
        <w:ind w:left="0" w:right="0" w:firstLine="576"/>
        <w:jc w:val="left"/>
      </w:pPr>
      <w:r>
        <w:rPr/>
        <w:t xml:space="preserve">(k)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(l) One representative of the association of Washington health care plans;</w:t>
      </w:r>
    </w:p>
    <w:p>
      <w:pPr>
        <w:spacing w:before="0" w:after="0" w:line="408" w:lineRule="exact"/>
        <w:ind w:left="0" w:right="0" w:firstLine="576"/>
        <w:jc w:val="left"/>
      </w:pPr>
      <w:r>
        <w:rPr/>
        <w:t xml:space="preserve">(m) One representative of sheriffs and police chiefs;</w:t>
      </w:r>
    </w:p>
    <w:p>
      <w:pPr>
        <w:spacing w:before="0" w:after="0" w:line="408" w:lineRule="exact"/>
        <w:ind w:left="0" w:right="0" w:firstLine="576"/>
        <w:jc w:val="left"/>
      </w:pPr>
      <w:r>
        <w:rPr/>
        <w:t xml:space="preserve">(n) One representative of a federally recognized tribe; and</w:t>
      </w:r>
    </w:p>
    <w:p>
      <w:pPr>
        <w:spacing w:before="0" w:after="0" w:line="408" w:lineRule="exact"/>
        <w:ind w:left="0" w:right="0" w:firstLine="576"/>
        <w:jc w:val="left"/>
      </w:pPr>
      <w:r>
        <w:rPr/>
        <w:t xml:space="preserve">(o) One representative of local government.</w:t>
      </w:r>
    </w:p>
    <w:p>
      <w:pPr>
        <w:spacing w:before="0" w:after="0" w:line="408" w:lineRule="exact"/>
        <w:ind w:left="0" w:right="0" w:firstLine="576"/>
        <w:jc w:val="left"/>
      </w:pPr>
      <w:r>
        <w:rPr/>
        <w:t xml:space="preserve">(3) The work group's evaluation shall include, but is not limited to, the following:</w:t>
      </w:r>
    </w:p>
    <w:p>
      <w:pPr>
        <w:spacing w:before="0" w:after="0" w:line="408" w:lineRule="exact"/>
        <w:ind w:left="0" w:right="0" w:firstLine="576"/>
        <w:jc w:val="left"/>
      </w:pPr>
      <w:r>
        <w:rPr/>
        <w:t xml:space="preserve">(a)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(b)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(c)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(d) Examining historical evidence regarding the overprescribing of opioids; and</w:t>
      </w:r>
    </w:p>
    <w:p>
      <w:pPr>
        <w:spacing w:before="0" w:after="0" w:line="408" w:lineRule="exact"/>
        <w:ind w:left="0" w:right="0" w:firstLine="576"/>
        <w:jc w:val="left"/>
      </w:pPr>
      <w:r>
        <w:rPr/>
        <w:t xml:space="preserve">(e) Examining whether there is evidence that a proposed "safe supply" would be accompanied by any other benefits or consequences.</w:t>
      </w:r>
    </w:p>
    <w:p>
      <w:pPr>
        <w:spacing w:before="0" w:after="0" w:line="408" w:lineRule="exact"/>
        <w:ind w:left="0" w:right="0" w:firstLine="576"/>
        <w:jc w:val="left"/>
      </w:pPr>
      <w:r>
        <w:rPr/>
        <w:t xml:space="preserve">(4) Staffing for the work group shall be provided by the authority.</w:t>
      </w:r>
    </w:p>
    <w:p>
      <w:pPr>
        <w:spacing w:before="0" w:after="0" w:line="408" w:lineRule="exact"/>
        <w:ind w:left="0" w:right="0" w:firstLine="576"/>
        <w:jc w:val="left"/>
      </w:pPr>
      <w:r>
        <w:rPr/>
        <w:t xml:space="preserve">(5) The work group shall provide a preliminary report and recommendations to the governor and appropriate committees of the legislature by December 1, 2023, and shall provide a final report by December 1, 2024.</w:t>
      </w:r>
    </w:p>
    <w:p>
      <w:pPr>
        <w:spacing w:before="240" w:after="0" w:line="408" w:lineRule="exact"/>
        <w:ind w:left="0" w:right="0" w:firstLine="576"/>
        <w:jc w:val="center"/>
      </w:pPr>
      <w:r>
        <w:rPr>
          <w:b/>
        </w:rPr>
        <w:t xml:space="preserve">Part XV -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w:t>
      </w:r>
      <w:r>
        <w:t>((</w:t>
      </w:r>
      <w:r>
        <w:rPr>
          <w:strike/>
        </w:rPr>
        <w:t xml:space="preserve">July 1, 2023</w:t>
      </w:r>
      <w:r>
        <w:t>))</w:t>
      </w:r>
      <w:r>
        <w:rPr/>
        <w:t xml:space="preserve"> </w:t>
      </w:r>
      <w:r>
        <w:rPr>
          <w:u w:val="single"/>
        </w:rPr>
        <w:t xml:space="preserve">on the effective date of this section</w:t>
      </w:r>
      <w:r>
        <w:rPr/>
        <w:t xml:space="preserve">.</w:t>
      </w:r>
    </w:p>
    <w:p/>
    <w:p>
      <w:pPr>
        <w:jc w:val="center"/>
      </w:pPr>
      <w:r>
        <w:rPr>
          <w:b/>
        </w:rPr>
        <w:t>--- END ---</w:t>
      </w:r>
    </w:p>
    <w:sectPr>
      <w:pgNumType w:start="1"/>
      <w:footerReference xmlns:r="http://schemas.openxmlformats.org/officeDocument/2006/relationships" r:id="R3a95dc04ac1a43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d4df25f5a41b6" /><Relationship Type="http://schemas.openxmlformats.org/officeDocument/2006/relationships/footer" Target="/word/footer1.xml" Id="R3a95dc04ac1a4354" /></Relationships>
</file>