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a47302f6a42f5" /></Relationships>
</file>

<file path=word/document.xml><?xml version="1.0" encoding="utf-8"?>
<w:document xmlns:w="http://schemas.openxmlformats.org/wordprocessingml/2006/main">
  <w:body>
    <w:p>
      <w:r>
        <w:t>S-1697.3</w:t>
      </w:r>
    </w:p>
    <w:p>
      <w:pPr>
        <w:jc w:val="center"/>
      </w:pPr>
      <w:r>
        <w:t>_______________________________________________</w:t>
      </w:r>
    </w:p>
    <w:p/>
    <w:p>
      <w:pPr>
        <w:jc w:val="center"/>
      </w:pPr>
      <w:r>
        <w:rPr>
          <w:b/>
        </w:rPr>
        <w:t>SECOND SUBSTITUTE SENATE BILL 5536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Lovick, Rolfes, Mullet, Dhingra, Billig, Hasegawa, Keiser, Kuderer, Liias, Lovelett, Nobles, Randall, Stanford,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justice system and behavioral health responses for persons experiencing circumstances that involve controlled substances, counterfeit substances, legend drugs, and drug paraphernalia; amending RCW 69.50.4011, 69.50.4013, 69.50.4014, 69.41.030, 69.50.509, 69.50.4121, 9.96.060, 36.70A.200, 71.24.589, 71.24.590, 10.31.110, and 84.36.043; amending 2021 c 311 s 29 (uncodified); adding a new section to chapter 43.43 RCW; adding new sections to chapter 69.50 RCW; adding a new section to chapter 43.330 RCW; adding a new section to chapter 26.12 RCW; adding new sections to chapter 71.24 RCW; adding new sections to chapter 43.216 RCW; creating new sections; repealing RCW 10.31.115; prescribing penalties;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disorders are a public health issue. Solutions must address not only the criminal legal response, but be data-driven, evidence-based, and represent best practices, working directly with people who use drugs to prevent overdose and infectious disease transmission, and improve the physical, mental, and social well-being of those served. The state must follow principles of harm reduction, which means practical strategies aimed at reducing negative consequences associated with drug use. Harm reduction involves safer use of supplies as well as care settings, staffing, and interactions that are person-centered, supportive, and welcoming.</w:t>
      </w:r>
    </w:p>
    <w:p>
      <w:pPr>
        <w:spacing w:before="0" w:after="0" w:line="408" w:lineRule="exact"/>
        <w:ind w:left="0" w:right="0" w:firstLine="576"/>
        <w:jc w:val="left"/>
      </w:pPr>
      <w:r>
        <w:rPr/>
        <w:t xml:space="preserve">The legislature finds that the recommendations of the substance use recovery services advisory committee reflect hours of diligent work by individuals with a range of professional and personal experience, who brought that experience to the committee, and whose expertise is reflected in the recommendations.</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 or</w:t>
      </w:r>
    </w:p>
    <w:p>
      <w:pPr>
        <w:spacing w:before="0" w:after="0" w:line="408" w:lineRule="exact"/>
        <w:ind w:left="0" w:right="0" w:firstLine="576"/>
        <w:jc w:val="left"/>
      </w:pPr>
      <w:r>
        <w:rPr>
          <w:u w:val="single"/>
        </w:rPr>
        <w:t xml:space="preserve">(b)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(1)(b) of this section, the court shall advise the defendant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RCW 69.50.4014, </w:t>
      </w:r>
      <w:r>
        <w:t>((</w:t>
      </w:r>
      <w:r>
        <w:rPr>
          <w:strike/>
        </w:rPr>
        <w:t xml:space="preserve">any person who violates this section is guilty of a class C felony punishable under chapter 9A.20 RCW</w:t>
      </w:r>
      <w:r>
        <w:t>))</w:t>
      </w:r>
      <w:r>
        <w:rPr/>
        <w:t xml:space="preserve"> </w:t>
      </w:r>
      <w:r>
        <w:rPr>
          <w:u w:val="single"/>
        </w:rPr>
        <w:t xml:space="preserve">a violation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this section, the court shall advise the defendant of the availability of the pretrial diversion program as indicated in section 10(2) of this act</w:t>
      </w:r>
      <w:r>
        <w:rPr/>
        <w:t xml:space="preserve">.</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Upon arraignment for violation of this section, the court shall advise the defendant of the availability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In lieu of jail booking and referral to the prosecutor for a violation of this section involving knowing possession,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(d) Upon arraignment for a violation of this section involving knowing possession, the court shall advise the defendant of the availability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must complete the necessary analysis for any evidence submitted for a suspected violation of RCW 69.50.4011(1)(b), 69.50.4013, or 69.41.030 within 45 days of receipt of the request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sums, or as much thereof as may be necessary, are each appropriated to the Washington state patrol: $780,000 from the state general fund for the fiscal year ending June 30, 2024; and $425,000 from the state general fund for the fiscal year ending June 30, 2025. The amounts in this section are provided solely to support the Washington state patrol bureau of forensic laboratory services in completing the necessary analysis for any evidence submitted for a suspected violation of RCW 69.50.4011(1)(b), 69.50.4013, or 69.41.030 within 45 days of receipt of the request for analysis.</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 69.50.4013, 69.50.4014, or 69.41.030.</w:t>
      </w:r>
    </w:p>
    <w:p>
      <w:pPr>
        <w:spacing w:before="240" w:after="0" w:line="408" w:lineRule="exact"/>
        <w:ind w:left="0" w:right="0" w:firstLine="576"/>
        <w:jc w:val="center"/>
      </w:pPr>
      <w:r>
        <w:rPr>
          <w:b/>
        </w:rPr>
        <w:t xml:space="preserve">Part III - Creating a Pretrial Diversion Program for Individuals Charged with Possession and Vacating Possession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defense, with the consent of the prosecutor as required by RCW 2.30.030, from seeking to resolve charges of possession under RCW 69.50.4011(1)(b), 69.50.4013, 69.50.4014, or 69.41.030 through available therapeutic courts or other alternatives to prosecution.</w:t>
      </w:r>
    </w:p>
    <w:p>
      <w:pPr>
        <w:spacing w:before="0" w:after="0" w:line="408" w:lineRule="exact"/>
        <w:ind w:left="0" w:right="0" w:firstLine="576"/>
        <w:jc w:val="left"/>
      </w:pPr>
      <w:r>
        <w:rPr/>
        <w:t xml:space="preserve">(2) For any charged violation of RCW 69.50.4011(1)(b), 69.50.4013, 69.50.4014, or 69.41.030, the court shall advise the defendant and his or her attorney of the pretrial diversion program. This notification must include all of the following:</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69.50.4011(1)(b), 69.50.4013, 69.50.4014, or 69.41.030 that is charged, provided that the defendant pleads not guilty to the charge or charges, waives the right to a speedy trial and that upon the defendant's successful completion of the program, as specified in subsection (11)(d) of this section, the positive recommendation of the program authority and motion of the defendant, prosecuting attorney, the court, or the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meaningfully engaged with services provided that are appropriate to the defendant's circumstances, the prosecuting attorney may make a motion to terminate pretrial diversion and schedule further proceedings as otherwise provided in this section; and</w:t>
      </w:r>
    </w:p>
    <w:p>
      <w:pPr>
        <w:spacing w:before="0" w:after="0" w:line="408" w:lineRule="exact"/>
        <w:ind w:left="0" w:right="0" w:firstLine="576"/>
        <w:jc w:val="left"/>
      </w:pPr>
      <w:r>
        <w:rPr/>
        <w:t xml:space="preserve">(e) An explanation of criminal record retention and disposition resulting from participation in the pretrial diversion program and the defendant's rights relative to answering questions about his or her arrest and pretrial diversion following successful completion of the program.</w:t>
      </w:r>
    </w:p>
    <w:p>
      <w:pPr>
        <w:spacing w:before="0" w:after="0" w:line="408" w:lineRule="exact"/>
        <w:ind w:left="0" w:right="0" w:firstLine="576"/>
        <w:jc w:val="left"/>
      </w:pPr>
      <w:r>
        <w:rPr/>
        <w:t xml:space="preserve">(3) Upon a motion of the defendant and agreement to waive his or her right to a speedy trial if granted pretrial diversion, the court may grant the motion and continue the hearing and refer the defendant for an assessment by any substance use disorder treatment program as designated in chapter 71.24 RCW.</w:t>
      </w:r>
    </w:p>
    <w:p>
      <w:pPr>
        <w:spacing w:before="0" w:after="0" w:line="408" w:lineRule="exact"/>
        <w:ind w:left="0" w:right="0" w:firstLine="576"/>
        <w:jc w:val="left"/>
      </w:pPr>
      <w:r>
        <w:rPr/>
        <w:t xml:space="preserve">(4)(a) For defendants who agree to participate in the diversion program, the court shall assist the defendant in obtaining a substance use disorder evaluation within seven days of the defendant's agreement to participate in the diversion program. The substance use evaluation must be provided at no expense to defendants who qualify for public defense services or who are found to be indigent by the court. The evaluation must be provided at a location that is accessible to the defendant, and the court must provide the defendant with transportation assistance if such assistance is necessary to make the evaluation accessible to the defendant. The court may contract with a third party to provide substance use disorder assessments and services, which may be collocated at the court or be provided at alternative locations.</w:t>
      </w:r>
    </w:p>
    <w:p>
      <w:pPr>
        <w:spacing w:before="0" w:after="0" w:line="408" w:lineRule="exact"/>
        <w:ind w:left="0" w:right="0" w:firstLine="576"/>
        <w:jc w:val="left"/>
      </w:pPr>
      <w:r>
        <w:rPr/>
        <w:t xml:space="preserve">(b) The state shall reimburse local courts for costs associated with the substance use disorder assessments under this subsection.</w:t>
      </w:r>
    </w:p>
    <w:p>
      <w:pPr>
        <w:spacing w:before="0" w:after="0" w:line="408" w:lineRule="exact"/>
        <w:ind w:left="0" w:right="0" w:firstLine="576"/>
        <w:jc w:val="left"/>
      </w:pPr>
      <w:r>
        <w:rPr/>
        <w:t xml:space="preserve">(5) The treatment program must make a written report to the court stating its findings and recommendations after the examination. The report shall be filed under seal, and the court shall endeavor to avoid public discussion of circumstances, history, or diagnoses that could be embarrassing or stigmatizing to the defendant.</w:t>
      </w:r>
    </w:p>
    <w:p>
      <w:pPr>
        <w:spacing w:before="0" w:after="0" w:line="408" w:lineRule="exact"/>
        <w:ind w:left="0" w:right="0" w:firstLine="576"/>
        <w:jc w:val="left"/>
      </w:pPr>
      <w:r>
        <w:rPr/>
        <w:t xml:space="preserve">(6) The report with the treatment or service plan must be filed with the court and a copy given to the prosecutor, the defendant, and the defendant's counsel.</w:t>
      </w:r>
    </w:p>
    <w:p>
      <w:pPr>
        <w:spacing w:before="0" w:after="0" w:line="408" w:lineRule="exact"/>
        <w:ind w:left="0" w:right="0" w:firstLine="576"/>
        <w:jc w:val="left"/>
      </w:pPr>
      <w:r>
        <w:rPr/>
        <w:t xml:space="preserve">(7) Subject to the availability of funds appropriated for this purpose, the assessment and recommended services or treatment must be provided at no cost for individuals who have been found to be indigent by the court.</w:t>
      </w:r>
    </w:p>
    <w:p>
      <w:pPr>
        <w:spacing w:before="0" w:after="0" w:line="408" w:lineRule="exact"/>
        <w:ind w:left="0" w:right="0" w:firstLine="576"/>
        <w:jc w:val="left"/>
      </w:pPr>
      <w:r>
        <w:rPr/>
        <w:t xml:space="preserve">(8) No statement, or any information procured therefrom relating to the charge for which the defendant is receiving treatment or services, made by the defendant to any treatment or service provider, that is made during the course of any assessment or services provided by the treatment program pursuant to subsections (4) through (6) of this section, and before the reporting of the findings and recommendations to the court, may be admissible in any action or proceeding brought subsequent to the investigation.</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(11)(a) If it appears to the prosecuting attorney that the defendant is not meaningfully engaging in the recommended treatment or services, that the defendant is convicted of an offense that reflects the defendant's propensity for violence, or that the defendant is convicted of a felony, the prosecuting attorney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If the court finds that the defendant is not meaningfully engaging in the recommended treatment or services, or the court finds that the defendant has been convicted of an intervening crime as indicated in (a) of this subsection, the court must schedule the matter for further proceedings.</w:t>
      </w:r>
    </w:p>
    <w:p>
      <w:pPr>
        <w:spacing w:before="0" w:after="0" w:line="408" w:lineRule="exact"/>
        <w:ind w:left="0" w:right="0" w:firstLine="576"/>
        <w:jc w:val="left"/>
      </w:pPr>
      <w:r>
        <w:rPr/>
        <w:t xml:space="preserve">(d) If the defendant has successfully completed pretrial diversion, including meaningful engagement with recommended treatment or services, at the end of that period, the criminal possession charge or charges must be dismissed.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courts of limited jurisdiction, an individual who is convicted of a violation of RCW 69.50.4011(1)(b), 69.50.4013, or 69.41.030(2)(b) shall be sentenced as follows:</w:t>
      </w:r>
    </w:p>
    <w:p>
      <w:pPr>
        <w:spacing w:before="0" w:after="0" w:line="408" w:lineRule="exact"/>
        <w:ind w:left="0" w:right="0" w:firstLine="576"/>
        <w:jc w:val="left"/>
      </w:pPr>
      <w:r>
        <w:rPr/>
        <w:t xml:space="preserve">(a) For individuals convicted of a violation of RCW 69.50.4011(1)(b) or 69.50.4013, if the sentenced individual agrees as a condition of probation to submit to a substance use disorder assessment and comply with recommended treatment, to a term of confinement of up to 364 days all of which shall be suspended for a period not to exceed two years. The court shall give the individual credit for all confinement time served before the sentence if the confinement was solely in regard to the offense for which the individual is being sentenced;</w:t>
      </w:r>
    </w:p>
    <w:p>
      <w:pPr>
        <w:spacing w:before="0" w:after="0" w:line="408" w:lineRule="exact"/>
        <w:ind w:left="0" w:right="0" w:firstLine="576"/>
        <w:jc w:val="left"/>
      </w:pPr>
      <w:r>
        <w:rPr/>
        <w:t xml:space="preserve">(b) For individuals convicted of a violation of RCW 69.41.030(2)(b), if the sentenced individual agrees as a condition of probation to submit to a substance use disorder assessment and comply with recommended treatment, to a term of confinement of up to 90 days all of which shall be suspended for a period not to exceed one year; and</w:t>
      </w:r>
    </w:p>
    <w:p>
      <w:pPr>
        <w:spacing w:before="0" w:after="0" w:line="408" w:lineRule="exact"/>
        <w:ind w:left="0" w:right="0" w:firstLine="576"/>
        <w:jc w:val="left"/>
      </w:pPr>
      <w:r>
        <w:rPr/>
        <w:t xml:space="preserve">(c) For individuals convicted of a violation of RCW 69.50.4011(1)(b), 69.50.4013, or 69.41.030(2)(b) where the legend drug is classified as schedule II substance under RCW 69.50.206, if the sentenced individual refuses to submit to a substance use disorder assessment and comply with the recommended treatment as a condition of probation, to imprisonment for a term of not less than 21 days. The sentencing court shall give the individual credit for all confinement time served before the sentencing if the confinement was solely in regard to the offense for which the individual is being sentenced.</w:t>
      </w:r>
    </w:p>
    <w:p>
      <w:pPr>
        <w:spacing w:before="0" w:after="0" w:line="408" w:lineRule="exact"/>
        <w:ind w:left="0" w:right="0" w:firstLine="576"/>
        <w:jc w:val="left"/>
      </w:pPr>
      <w:r>
        <w:rPr/>
        <w:t xml:space="preserve">(2) For individuals sentenced under subsection (1)(a) or (b) of this section, the court shall order as a condition of probation the individual to submit to a substance use disorder assessment and comply with the recommended treatment.</w:t>
      </w:r>
    </w:p>
    <w:p>
      <w:pPr>
        <w:spacing w:before="0" w:after="0" w:line="408" w:lineRule="exact"/>
        <w:ind w:left="0" w:right="0" w:firstLine="576"/>
        <w:jc w:val="left"/>
      </w:pPr>
      <w:r>
        <w:rPr/>
        <w:t xml:space="preserve">(a) The court shall assist the defendant in obtaining a substance use disorder evaluation within seven days of the defendant's agreement to participate in the diversion program. The substance use evaluation shall be provided at no expense to defendants who qualify for public defense services or who are found to be indigent by the court. The evaluation shall be provided at a location that is accessible to the defendant, and the court shall provide the defendant with transportation assistance if such assistance is necessary to make the evaluation accessible to the defendant. The court may contract with a third party to provide substance use disorder assessments and services, which may be collocated at the court or be provided at alternative locations. The state shall reimburse local courts for costs associated with the substance use disorder assessments under this subsection.</w:t>
      </w:r>
    </w:p>
    <w:p>
      <w:pPr>
        <w:spacing w:before="0" w:after="0" w:line="408" w:lineRule="exact"/>
        <w:ind w:left="0" w:right="0" w:firstLine="576"/>
        <w:jc w:val="left"/>
      </w:pPr>
      <w:r>
        <w:rPr/>
        <w:t xml:space="preserve">(b) A diagnostic evaluation and treatment recommendation shall be prepared under the direction of the court by a substance use disorder treatment program licensed or certified by the department of health or a qualified probation department approved by the department of social and health services. A copy of the report shall be forwarded to the court. Based on the diagnostic evaluation, the court shall determine whether the person shall be required to complete a course in an alcohol and drug information school licensed or certified by the department of health or more intensive treatment in an approved treatment program licensed or certified by the department of health.</w:t>
      </w:r>
    </w:p>
    <w:p>
      <w:pPr>
        <w:spacing w:before="0" w:after="0" w:line="408" w:lineRule="exact"/>
        <w:ind w:left="0" w:right="0" w:firstLine="576"/>
        <w:jc w:val="left"/>
      </w:pPr>
      <w:r>
        <w:rPr/>
        <w:t xml:space="preserve">(c) The diagnostic evaluation and treatment recommendation shall include the following:</w:t>
      </w:r>
    </w:p>
    <w:p>
      <w:pPr>
        <w:spacing w:before="0" w:after="0" w:line="408" w:lineRule="exact"/>
        <w:ind w:left="0" w:right="0" w:firstLine="576"/>
        <w:jc w:val="left"/>
      </w:pPr>
      <w:r>
        <w:rPr/>
        <w:t xml:space="preserve">(i) Type of treatment;</w:t>
      </w:r>
    </w:p>
    <w:p>
      <w:pPr>
        <w:spacing w:before="0" w:after="0" w:line="408" w:lineRule="exact"/>
        <w:ind w:left="0" w:right="0" w:firstLine="576"/>
        <w:jc w:val="left"/>
      </w:pPr>
      <w:r>
        <w:rPr/>
        <w:t xml:space="preserve">(ii) Nature of treatment;</w:t>
      </w:r>
    </w:p>
    <w:p>
      <w:pPr>
        <w:spacing w:before="0" w:after="0" w:line="408" w:lineRule="exact"/>
        <w:ind w:left="0" w:right="0" w:firstLine="576"/>
        <w:jc w:val="left"/>
      </w:pPr>
      <w:r>
        <w:rPr/>
        <w:t xml:space="preserve">(iii) Length of treatment;</w:t>
      </w:r>
    </w:p>
    <w:p>
      <w:pPr>
        <w:spacing w:before="0" w:after="0" w:line="408" w:lineRule="exact"/>
        <w:ind w:left="0" w:right="0" w:firstLine="576"/>
        <w:jc w:val="left"/>
      </w:pPr>
      <w:r>
        <w:rPr/>
        <w:t xml:space="preserve">(iv) A treatment time schedule; and</w:t>
      </w:r>
    </w:p>
    <w:p>
      <w:pPr>
        <w:spacing w:before="0" w:after="0" w:line="408" w:lineRule="exact"/>
        <w:ind w:left="0" w:right="0" w:firstLine="576"/>
        <w:jc w:val="left"/>
      </w:pPr>
      <w:r>
        <w:rPr/>
        <w:t xml:space="preserve">(v) Approximate cost of the treatment.</w:t>
      </w:r>
    </w:p>
    <w:p>
      <w:pPr>
        <w:spacing w:before="0" w:after="0" w:line="408" w:lineRule="exact"/>
        <w:ind w:left="0" w:right="0" w:firstLine="576"/>
        <w:jc w:val="left"/>
      </w:pPr>
      <w:r>
        <w:rPr/>
        <w:t xml:space="preserve">(3) A person subject to substance use disorder assessment and treatment shall be required by the court to complete a course in an alcohol and drug information school certified by the department of health or to complete more intensive treatment in a treatment program licensed or certified by the department of health, as determined by the court.</w:t>
      </w:r>
    </w:p>
    <w:p>
      <w:pPr>
        <w:spacing w:before="0" w:after="0" w:line="408" w:lineRule="exact"/>
        <w:ind w:left="0" w:right="0" w:firstLine="576"/>
        <w:jc w:val="left"/>
      </w:pPr>
      <w:r>
        <w:rPr/>
        <w:t xml:space="preserve">(4) All individuals providing treatment under this section shall implement the integrated and comprehensive screening and assessment process for co-occurring substance use and mental health disorders adopted under RCW 71.24.630.</w:t>
      </w:r>
    </w:p>
    <w:p>
      <w:pPr>
        <w:spacing w:before="0" w:after="0" w:line="408" w:lineRule="exact"/>
        <w:ind w:left="0" w:right="0" w:firstLine="576"/>
        <w:jc w:val="left"/>
      </w:pPr>
      <w:r>
        <w:rPr/>
        <w:t xml:space="preserve">(5) Any agency that provides treatment ordered under this section, must immediately report to the appropriate probation department where applicable, otherwise to the court, any noncompliance by a person with the conditions of the person's ordered treatment. The court shall notify the department of health of any failure by an agency to report noncompliance. Any agency with knowledge of noncompliance that fails to report shall be fined $250 by the department of health. Upon three such failures by an agency within one year, the department of health shall revoke the agency's license or certification under this section.</w:t>
      </w:r>
    </w:p>
    <w:p>
      <w:pPr>
        <w:spacing w:before="0" w:after="0" w:line="408" w:lineRule="exact"/>
        <w:ind w:left="0" w:right="0" w:firstLine="576"/>
        <w:jc w:val="left"/>
      </w:pPr>
      <w:r>
        <w:rPr/>
        <w:t xml:space="preserve">(6) Subject to the availability of funds appropriated for this purpose, the substance use disorder assessment and recommended treatment as ordered by the court shall be provided at no cost for sentenced individuals who have been found to be indigent by the court.</w:t>
      </w:r>
    </w:p>
    <w:p>
      <w:pPr>
        <w:spacing w:before="0" w:after="0" w:line="408" w:lineRule="exact"/>
        <w:ind w:left="0" w:right="0" w:firstLine="576"/>
        <w:jc w:val="left"/>
      </w:pPr>
      <w:r>
        <w:rPr/>
        <w:t xml:space="preserve">(7) As a condition of probation, the sentenced individual must comply with the treatment recommendations of the substance use disorder assessment.</w:t>
      </w:r>
    </w:p>
    <w:p>
      <w:pPr>
        <w:spacing w:before="0" w:after="0" w:line="408" w:lineRule="exact"/>
        <w:ind w:left="0" w:right="0" w:firstLine="576"/>
        <w:jc w:val="left"/>
      </w:pPr>
      <w:r>
        <w:rPr/>
        <w:t xml:space="preserve">(8)(a) If it appears to the prosecuting attorney or the court, that the sentenced individual is performing unsatisfactorily in the recommended treatment program, the prosecuting attorney, or the court on its own,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If the court finds the sentenced individual has made reasonable efforts to comply with the recommended treatment but cannot comply either due to a lack of available treatment or, for sentenced individuals found to be indigent by the court, due to a lack of funding for treatment, no sanction for a failure to comply with the recommended treatment may include jail.</w:t>
      </w:r>
    </w:p>
    <w:p>
      <w:pPr>
        <w:spacing w:before="0" w:after="0" w:line="408" w:lineRule="exact"/>
        <w:ind w:left="0" w:right="0" w:firstLine="576"/>
        <w:jc w:val="left"/>
      </w:pPr>
      <w:r>
        <w:rPr/>
        <w:t xml:space="preserve">(9) For individuals sentenced under subsection (1)(a) of this section, if at any point the court finds by a preponderance of the evidence that the sentenced individual has willfully abandoned or demonstrated a consistent failure to comply with the recommended treatment, the court shall reinstate a portion of the individual's suspended sentence as follows:</w:t>
      </w:r>
    </w:p>
    <w:p>
      <w:pPr>
        <w:spacing w:before="0" w:after="0" w:line="408" w:lineRule="exact"/>
        <w:ind w:left="0" w:right="0" w:firstLine="576"/>
        <w:jc w:val="left"/>
      </w:pPr>
      <w:r>
        <w:rPr/>
        <w:t xml:space="preserve">(a) For an individual's first instance of being sentenced under this section, the court shall use its discretion in determining an appropriate amount of time of the individual's suspended sentence to reinstate given the facts and circumstances of the particular case;</w:t>
      </w:r>
    </w:p>
    <w:p>
      <w:pPr>
        <w:spacing w:before="0" w:after="0" w:line="408" w:lineRule="exact"/>
        <w:ind w:left="0" w:right="0" w:firstLine="576"/>
        <w:jc w:val="left"/>
      </w:pPr>
      <w:r>
        <w:rPr/>
        <w:t xml:space="preserve">(b) For an individual's second instance of being sentenced under this section, the court shall reinstate no less than 21 days of the individual's suspended sentence; and</w:t>
      </w:r>
    </w:p>
    <w:p>
      <w:pPr>
        <w:spacing w:before="0" w:after="0" w:line="408" w:lineRule="exact"/>
        <w:ind w:left="0" w:right="0" w:firstLine="576"/>
        <w:jc w:val="left"/>
      </w:pPr>
      <w:r>
        <w:rPr/>
        <w:t xml:space="preserve">(c) For an individual's third instance of being sentenced under this section, the court shall reinstate no less than 45 days of the individual's suspended sentence.</w:t>
      </w:r>
    </w:p>
    <w:p>
      <w:pPr>
        <w:spacing w:before="0" w:after="0" w:line="408" w:lineRule="exact"/>
        <w:ind w:left="0" w:right="0" w:firstLine="576"/>
        <w:jc w:val="left"/>
      </w:pPr>
      <w:r>
        <w:rPr/>
        <w:t xml:space="preserve">(10) For individuals sentenced under subsection (1)(a) of this section, the court may deem any subsequent charge filed against the individual for violation of RCW 69.50.4011(1)(b), 69.50.4013, or 69.41.030 a willful abandonment of treatment.</w:t>
      </w:r>
    </w:p>
    <w:p>
      <w:pPr>
        <w:spacing w:before="0" w:after="0" w:line="408" w:lineRule="exact"/>
        <w:ind w:left="0" w:right="0" w:firstLine="576"/>
        <w:jc w:val="left"/>
      </w:pPr>
      <w:r>
        <w:rPr/>
        <w:t xml:space="preserve">(11) If the individual has successfully completed the recommended treatment program, the individual must file proof of successful completion with the court at which time the court must terminate probation and enter an order vacating the individual's conviction under RCW 9.96.060(6).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an individual who successfully completes a substance use disorder treatment program as required under section 11 of this act files proof of completion with the court, upon verification that the individual successfully completed the substance use disorder treatment program,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health care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0" w:after="0" w:line="408" w:lineRule="exact"/>
        <w:ind w:left="0" w:right="0" w:firstLine="576"/>
        <w:jc w:val="left"/>
      </w:pPr>
      <w:r>
        <w:rPr>
          <w:u w:val="single"/>
        </w:rPr>
        <w:t xml:space="preserve">(8) A mobile or fixed-site medication unit may be established as part of a licensed opioid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programs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programs in underserved areas such as central and eastern Washington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(c) Refer the individual to a designated crisis responder for evaluation for initial detention and proceeding under chapter 71.05 RCW;</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(e) Refer the individual to youth, adult, or geriatric mobile crisis response services, as appropriate; or</w:t>
      </w:r>
    </w:p>
    <w:p>
      <w:pPr>
        <w:spacing w:before="0" w:after="0" w:line="408" w:lineRule="exact"/>
        <w:ind w:left="0" w:right="0" w:firstLine="576"/>
        <w:jc w:val="left"/>
      </w:pPr>
      <w:r>
        <w:rPr/>
        <w:t xml:space="preserve">(f)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w:t>
      </w:r>
      <w:r>
        <w:t>((</w:t>
      </w:r>
      <w:r>
        <w:rPr>
          <w:strike/>
        </w:rPr>
        <w:t xml:space="preserve">the terms of the program and</w:t>
      </w:r>
      <w:r>
        <w:t>))</w:t>
      </w:r>
      <w:r>
        <w:rPr/>
        <w:t xml:space="preserve">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w:t>
      </w:r>
      <w:r>
        <w:t>((</w:t>
      </w:r>
      <w:r>
        <w:rPr>
          <w:strike/>
        </w:rPr>
        <w:t xml:space="preserve">, unless filing or referring the charges is inconsistent with the terms of a local diversion program or a recovery navigator program described in RCW 71.24.115</w:t>
      </w:r>
      <w:r>
        <w: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Providing Legal Advocacy for Parents and Families Affected by Substance Use Disorders in Dependency and Child Custody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parenting plan or child custody proceeding in which the court determines that a child's parent, guardian, or custodian is affected by substance use disorders, mental health disorders, or behavioral health concerns such that it leaves the parent, guardian, or custodian unable to adequately represent his or her own interests or his or her parental rights may be restricted, either by way of long-term supervision or limited contact with the child, the parent, guardian, or custodian may have the right to court-appointed counsel, who, if appropriate, must have understanding of the Indian child welfare act and knowledge about tribal child welfare systems. In determining whether to appoint counsel, the court must consider the financial ability of the parties, the degree such disorder impacts the ability of the parent, guardian, or custodian to understand the proceedings and represent their own interests, and any professional assessment or evaluation or any other evidence submitted to the court on the parent, guardian, or custodian's behalf.</w:t>
      </w:r>
    </w:p>
    <w:p>
      <w:pPr>
        <w:spacing w:before="0" w:after="0" w:line="408" w:lineRule="exact"/>
        <w:ind w:left="0" w:right="0" w:firstLine="576"/>
        <w:jc w:val="left"/>
      </w:pPr>
      <w:r>
        <w:rPr/>
        <w:t xml:space="preserve">(2) The court may, in its discretion, appoint counsel for the child or a guardian ad litem as set forth in RCW 26.09.110 and 26.09.220.</w:t>
      </w:r>
    </w:p>
    <w:p>
      <w:pPr>
        <w:spacing w:before="240" w:after="0" w:line="408" w:lineRule="exact"/>
        <w:ind w:left="0" w:right="0" w:firstLine="576"/>
        <w:jc w:val="center"/>
      </w:pPr>
      <w:r>
        <w:rPr>
          <w:b/>
        </w:rPr>
        <w:t xml:space="preserve">Part VI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provided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 including by expansion of a revolving fund program to make loans or grants available for recovery residence operators to use for necessary capital expenses;</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21, chapter . . ., Laws of 2023 (section 21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21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21 of this act;</w:t>
      </w:r>
    </w:p>
    <w:p>
      <w:pPr>
        <w:spacing w:before="0" w:after="0" w:line="408" w:lineRule="exact"/>
        <w:ind w:left="0" w:right="0" w:firstLine="576"/>
        <w:jc w:val="left"/>
      </w:pPr>
      <w:r>
        <w:rPr/>
        <w:t xml:space="preserve">(b) The amount of annual property tax relief resulting from the tax exemption under section 21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21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21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21 of this act.</w:t>
      </w:r>
    </w:p>
    <w:p>
      <w:pPr>
        <w:spacing w:before="0" w:after="0" w:line="408" w:lineRule="exact"/>
        <w:ind w:left="0" w:right="0" w:firstLine="576"/>
        <w:jc w:val="left"/>
      </w:pPr>
      <w:r>
        <w:rPr/>
        <w:t xml:space="preserve">(5) The legislature intends to extend the expiration date of the property tax exemption under section 21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21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21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21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21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21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health care authority in consultation with the department shall develop a training for parents of children and transition age youth with substance use disorders by June 30, 2024, addressing the following:</w:t>
      </w:r>
    </w:p>
    <w:p>
      <w:pPr>
        <w:spacing w:before="0" w:after="0" w:line="408" w:lineRule="exact"/>
        <w:ind w:left="0" w:right="0" w:firstLine="576"/>
        <w:jc w:val="left"/>
      </w:pPr>
      <w:r>
        <w:rPr/>
        <w:t xml:space="preserve">(a) Science and education related to substance use disorders;</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 and</w:t>
      </w:r>
    </w:p>
    <w:p>
      <w:pPr>
        <w:spacing w:before="0" w:after="0" w:line="408" w:lineRule="exact"/>
        <w:ind w:left="0" w:right="0" w:firstLine="576"/>
        <w:jc w:val="left"/>
      </w:pPr>
      <w:r>
        <w:rPr/>
        <w:t xml:space="preserve">(d) Means to obtain opioid overdose reversal medication when appropriate and instruction on proper use.</w:t>
      </w:r>
    </w:p>
    <w:p>
      <w:pPr>
        <w:spacing w:before="0" w:after="0" w:line="408" w:lineRule="exact"/>
        <w:ind w:left="0" w:right="0" w:firstLine="576"/>
        <w:jc w:val="left"/>
      </w:pPr>
      <w:r>
        <w:rPr/>
        <w:t xml:space="preserve">(2) The health care authority and the department shall make this training publicly available and the department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make opioid overdose reversal medication available for use by caseworkers or employees that may come in contact with individuals experiencing overdose and must make appropriate training available.</w:t>
      </w:r>
    </w:p>
    <w:p>
      <w:pPr>
        <w:spacing w:before="240" w:after="0" w:line="408" w:lineRule="exact"/>
        <w:ind w:left="0" w:right="0" w:firstLine="576"/>
        <w:jc w:val="center"/>
      </w:pPr>
      <w:r>
        <w:rPr>
          <w:b/>
        </w:rPr>
        <w:t xml:space="preserve">Part VIII – Data Support for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must develop and implement a data integration platform by June 30, 2024, to serve as a common database for diversion efforts across the state, to serve as a data collection and management tool for practitioners, and to assist in standardizing definitions and practices. If possible, the health care authority must leverage and interact with existing platforms already in use in efforts funded by the authority. The health care authority must establish a quality assurance process for behavioral health administrative services organizations, and employ data validation for fields in the data collection workbook.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with reports due by June 30th in the years 2028, 2033, and 2038. The Washington state institute for public policy shall collaborate with the authority and substance use recovery services advisory committee under RCW 71.24.546 on the topic of data collection and to determine the parameters of the report, which shall include recommendations, if any, for modification and improvement of the recovery navigator program.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240" w:after="0" w:line="408" w:lineRule="exact"/>
        <w:ind w:left="0" w:right="0" w:firstLine="576"/>
        <w:jc w:val="center"/>
      </w:pPr>
      <w:r>
        <w:rPr>
          <w:b/>
        </w:rPr>
        <w:t xml:space="preserve">Part IX – Establishing Rules and Payment Structures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develop payment structures for health engagement hubs by January 1, 2025.</w:t>
      </w:r>
    </w:p>
    <w:p>
      <w:pPr>
        <w:spacing w:before="0" w:after="0" w:line="408" w:lineRule="exact"/>
        <w:ind w:left="0" w:right="0" w:firstLine="576"/>
        <w:jc w:val="left"/>
      </w:pPr>
      <w:r>
        <w:rPr/>
        <w:t xml:space="preserve">(2) A health engagement hub:</w:t>
      </w:r>
    </w:p>
    <w:p>
      <w:pPr>
        <w:spacing w:before="0" w:after="0" w:line="408" w:lineRule="exact"/>
        <w:ind w:left="0" w:right="0" w:firstLine="576"/>
        <w:jc w:val="left"/>
      </w:pPr>
      <w:r>
        <w:rPr/>
        <w:t xml:space="preserve">(a) Serves as an all-in-one location where people who use drugs can access a range of medical, harm reduction, treatment, and social services;</w:t>
      </w:r>
    </w:p>
    <w:p>
      <w:pPr>
        <w:spacing w:before="0" w:after="0" w:line="408" w:lineRule="exact"/>
        <w:ind w:left="0" w:right="0" w:firstLine="576"/>
        <w:jc w:val="left"/>
      </w:pPr>
      <w:r>
        <w:rPr/>
        <w:t xml:space="preserve">(b) May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Provides referrals or access to methadone and other medications for opioid addiction;</w:t>
      </w:r>
    </w:p>
    <w:p>
      <w:pPr>
        <w:spacing w:before="0" w:after="0" w:line="408" w:lineRule="exact"/>
        <w:ind w:left="0" w:right="0" w:firstLine="576"/>
        <w:jc w:val="left"/>
      </w:pPr>
      <w:r>
        <w:rPr/>
        <w:t xml:space="preserve">(d) Functions as a patient-centered medical home by offering high-quality, cost-effective patient-centered care, including wound care;</w:t>
      </w:r>
    </w:p>
    <w:p>
      <w:pPr>
        <w:spacing w:before="0" w:after="0" w:line="408" w:lineRule="exact"/>
        <w:ind w:left="0" w:right="0" w:firstLine="576"/>
        <w:jc w:val="left"/>
      </w:pPr>
      <w:r>
        <w:rPr/>
        <w:t xml:space="preserve">(e) Provides harm reduction services and supplies;</w:t>
      </w:r>
    </w:p>
    <w:p>
      <w:pPr>
        <w:spacing w:before="0" w:after="0" w:line="408" w:lineRule="exact"/>
        <w:ind w:left="0" w:right="0" w:firstLine="576"/>
        <w:jc w:val="left"/>
      </w:pPr>
      <w:r>
        <w:rPr/>
        <w:t xml:space="preserve">(f) Provides linkage to housing, transportation, and other support services; and</w:t>
      </w:r>
    </w:p>
    <w:p>
      <w:pPr>
        <w:spacing w:before="0" w:after="0" w:line="408" w:lineRule="exact"/>
        <w:ind w:left="0" w:right="0" w:firstLine="576"/>
        <w:jc w:val="left"/>
      </w:pPr>
      <w:r>
        <w:rPr/>
        <w:t xml:space="preserve">(g) Is open to youth as well as adults.</w:t>
      </w:r>
    </w:p>
    <w:p>
      <w:pPr>
        <w:spacing w:before="0" w:after="0" w:line="408" w:lineRule="exact"/>
        <w:ind w:left="0" w:right="0" w:firstLine="576"/>
        <w:jc w:val="left"/>
      </w:pPr>
      <w:r>
        <w:rPr/>
        <w:t xml:space="preserve">(3) To the extent allowed under federal law, the authority shall direct medicaid managed care organizations to adopt a value-based bundled payment methodology in contracts with health engagement hubs and other opioid treatment providers.</w:t>
      </w:r>
    </w:p>
    <w:p>
      <w:pPr>
        <w:spacing w:before="0" w:after="0" w:line="408" w:lineRule="exact"/>
        <w:ind w:left="0" w:right="0" w:firstLine="576"/>
        <w:jc w:val="left"/>
      </w:pPr>
      <w:r>
        <w:rPr/>
        <w:t xml:space="preserve">(4) The authority shall make sufficient funding available to ensure that a health engagement hub is available within a two-hour drive for all communities and that there is at least one health engagement hub available per 200,000 residents in Washington state.</w:t>
      </w:r>
    </w:p>
    <w:p>
      <w:pPr>
        <w:spacing w:before="240" w:after="0" w:line="408" w:lineRule="exact"/>
        <w:ind w:left="0" w:right="0" w:firstLine="576"/>
        <w:jc w:val="center"/>
      </w:pPr>
      <w:r>
        <w:rPr>
          <w:b/>
        </w:rPr>
        <w:t xml:space="preserve">Part 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XI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increase investments in the 2023-2025 biennium substantially over baseline levels established in the 2021-2023 operating and capital budgets to increase the provision of evidence-based prearrest and prefiling diversion programs in all regions of the state. Services which shall be increased and included in every health purchasing region include crisis stabilization units, 23-hour crisis relief centers, mobile crisis response services for youth and adults, recovery navigator programs, and law enforcement assisted diversion.</w:t>
      </w:r>
    </w:p>
    <w:p>
      <w:pPr>
        <w:spacing w:before="0" w:after="0" w:line="408" w:lineRule="exact"/>
        <w:ind w:left="0" w:right="0" w:firstLine="576"/>
        <w:jc w:val="left"/>
      </w:pPr>
      <w:r>
        <w:rPr/>
        <w:t xml:space="preserve">(2) The appropriations in this subsection are provided to the state health care authority and are subject to the following conditions and limitations:</w:t>
      </w:r>
    </w:p>
    <w:p>
      <w:pPr>
        <w:spacing w:before="0" w:after="0" w:line="408" w:lineRule="exact"/>
        <w:ind w:left="0" w:right="0" w:firstLine="576"/>
        <w:jc w:val="left"/>
      </w:pPr>
      <w:r>
        <w:rPr/>
        <w:t xml:space="preserve">(a) The following sums, or so much thereof as may be necessary, are each appropriated: $18,114,000 from the state general fund for the fiscal year ending June 30, 2024; and $16,437,000 from the state general fund for the fiscal year ending June 30, 2025. The amounts in this subsection are provided solely for the authority to continue and expand efforts to provide opioid use disorder medication in city, county, regional, and tribal jails.</w:t>
      </w:r>
    </w:p>
    <w:p>
      <w:pPr>
        <w:spacing w:before="0" w:after="0" w:line="408" w:lineRule="exact"/>
        <w:ind w:left="0" w:right="0" w:firstLine="576"/>
        <w:jc w:val="left"/>
      </w:pPr>
      <w:r>
        <w:rPr/>
        <w:t xml:space="preserve">(b) The following sums, or so much thereof as may be necessary, are each appropriated: $3,500,000 from the state general fund for the fiscal year ending June 30, 2024; and $3,500,000 from the state general fund for the fiscal year ending June 30, 2025. The amounts in this subsection are provided solely for the authority to provide support funds to new and established clubhouses throughout the state.</w:t>
      </w:r>
    </w:p>
    <w:p>
      <w:pPr>
        <w:spacing w:before="0" w:after="0" w:line="408" w:lineRule="exact"/>
        <w:ind w:left="0" w:right="0" w:firstLine="576"/>
        <w:jc w:val="left"/>
      </w:pPr>
      <w:r>
        <w:rPr/>
        <w:t xml:space="preserve">(c) The following sums, or so much thereof as may be necessary, are each appropriated: $1,583,000 from the state general fund for the fiscal year ending June 30, 2024; and $1,583,000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0" w:after="0" w:line="408" w:lineRule="exact"/>
        <w:ind w:left="0" w:right="0" w:firstLine="576"/>
        <w:jc w:val="left"/>
      </w:pPr>
      <w:r>
        <w:rPr/>
        <w:t xml:space="preserve">(d) The following sums, or so much thereof as may be necessary, are each appropriated: $900,000 from the state general fund for the fiscal year ending June 30, 2024; $900,000 from the state general fund for the fiscal year ending June 30, 2025; and $1,800,000 from the state general fund</w:t>
      </w:r>
      <w:r>
        <w:rPr>
          <w:rFonts w:ascii="Times New Roman" w:hAnsi="Times New Roman"/>
        </w:rPr>
        <w:t xml:space="preserve">—</w:t>
      </w:r>
      <w:r>
        <w:rPr/>
        <w:t xml:space="preserve">federal for the fiscal biennium ending June 30, 2025. The amounts in this subsection are provided solely for the authority to maintain a memorandum of understanding with the criminal justice training commission to provide ongoing funding for community grants pursuant to RCW 36.28A.450.</w:t>
      </w:r>
    </w:p>
    <w:p>
      <w:pPr>
        <w:spacing w:before="0" w:after="0" w:line="408" w:lineRule="exact"/>
        <w:ind w:left="0" w:right="0" w:firstLine="576"/>
        <w:jc w:val="left"/>
      </w:pPr>
      <w:r>
        <w:rPr/>
        <w:t xml:space="preserve">(e) The following sums, or so much thereof as may be necessary, are each appropriated: $1,250,000 from the state general fund for the fiscal year ending June 30, 2024; $1,250,000 from the state general fund for the fiscal year ending June 30, 2025; and $2,500,000 from the state general fund</w:t>
      </w:r>
      <w:r>
        <w:rPr>
          <w:rFonts w:ascii="Times New Roman" w:hAnsi="Times New Roman"/>
        </w:rPr>
        <w:t xml:space="preserve">—</w:t>
      </w:r>
      <w:r>
        <w:rPr/>
        <w:t xml:space="preserve">federal for the fiscal biennium ending June 30, 2025. The amounts in this subsection are provided solely for the authority to provide ongoing grants to law enforcement assistant diversion programs under RCW 71.24.590.</w:t>
      </w:r>
    </w:p>
    <w:p>
      <w:pPr>
        <w:spacing w:before="240" w:after="0" w:line="408" w:lineRule="exact"/>
        <w:ind w:left="0" w:right="0" w:firstLine="576"/>
        <w:jc w:val="center"/>
      </w:pPr>
      <w:r>
        <w:rPr>
          <w:b/>
        </w:rPr>
        <w:t xml:space="preserve">Part XIII – Streamlining Substance Use Disorder Treatment Intakes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processing intakes and to make the intake process as brief as possible, including only what is necessary to manage utilization and initiate care. The intake shall be low barrier, person-centered, and amenable to administration in diverse health care settings and by a range of health care professionals. The intake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and other individuals recommended by the authority. The work group shall present its recommendations to the governor and appropriate committees of the legislature by December 1, 2024.</w:t>
      </w:r>
    </w:p>
    <w:p>
      <w:pPr>
        <w:spacing w:before="240" w:after="0" w:line="408" w:lineRule="exact"/>
        <w:ind w:left="0" w:right="0" w:firstLine="576"/>
        <w:jc w:val="center"/>
      </w:pPr>
      <w:r>
        <w:rPr>
          <w:b/>
        </w:rPr>
        <w:t xml:space="preserve">Part XIV -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w:t>
      </w:r>
      <w:r>
        <w:t>((</w:t>
      </w:r>
      <w:r>
        <w:rPr>
          <w:strike/>
        </w:rPr>
        <w:t xml:space="preserve">July 1, 2023</w:t>
      </w:r>
      <w:r>
        <w:t>))</w:t>
      </w:r>
      <w:r>
        <w:rPr/>
        <w:t xml:space="preserve"> </w:t>
      </w:r>
      <w:r>
        <w:rPr>
          <w:u w:val="single"/>
        </w:rPr>
        <w:t xml:space="preserve">on the effective date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6a021523edc84f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39f8cc74e4886" /><Relationship Type="http://schemas.openxmlformats.org/officeDocument/2006/relationships/footer" Target="/word/footer1.xml" Id="R6a021523edc84fb1" /></Relationships>
</file>