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1a2122ca0943e0" /></Relationships>
</file>

<file path=word/document.xml><?xml version="1.0" encoding="utf-8"?>
<w:document xmlns:w="http://schemas.openxmlformats.org/wordprocessingml/2006/main">
  <w:body>
    <w:p>
      <w:r>
        <w:t>S-0282.4</w:t>
      </w:r>
    </w:p>
    <w:p>
      <w:pPr>
        <w:jc w:val="center"/>
      </w:pPr>
      <w:r>
        <w:t>_______________________________________________</w:t>
      </w:r>
    </w:p>
    <w:p/>
    <w:p>
      <w:pPr>
        <w:jc w:val="center"/>
      </w:pPr>
      <w:r>
        <w:rPr>
          <w:b/>
        </w:rPr>
        <w:t>SENATE BILL 5536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Lovick, Rolfes, Mullet, Dhingra, Billig, Hasegawa, Keiser, Kuderer, Liias, Lovelett, Nobles, Randall, Stanford, Wellman, and C. Wilson</w:t>
      </w:r>
    </w:p>
    <w:p/>
    <w:p>
      <w:r>
        <w:rPr>
          <w:t xml:space="preserve">Read first time 01/23/23.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justice system and behavioral health responses for persons experiencing circumstances that involve controlled substances, counterfeit substances, legend drugs, and drug paraphernalia; amending RCW 69.50.4011, 69.50.4013, 69.50.4014, 69.41.030, 69.50.4121, 69.50.509, 9.96.060, 36.70A.200, and 71.24.590; adding new sections to chapter 69.50 RCW; adding a new section to chapter 71.24 RCW; adding a new section to chapter 43.330 RCW; repealing RCW 10.31.115;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 or</w:t>
      </w:r>
    </w:p>
    <w:p>
      <w:pPr>
        <w:spacing w:before="0" w:after="0" w:line="408" w:lineRule="exact"/>
        <w:ind w:left="0" w:right="0" w:firstLine="576"/>
        <w:jc w:val="left"/>
      </w:pPr>
      <w:r>
        <w:rPr>
          <w:u w:val="single"/>
        </w:rPr>
        <w:t xml:space="preserve">(b)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u w:val="single"/>
        </w:rPr>
        <w:t xml:space="preserve">(c) Upon arraignment for a violation of subsection (1)(b) of this section, the court shall advise the defendant of the pretrial diversion program as indicated in section 8(1)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RCW 69.50.4014, </w:t>
      </w:r>
      <w:r>
        <w:t>((</w:t>
      </w:r>
      <w:r>
        <w:rPr>
          <w:strike/>
        </w:rPr>
        <w:t xml:space="preserve">any person who violates this section is guilty of a class C felony punishable under chapter 9A.20 RCW</w:t>
      </w:r>
      <w:r>
        <w:t>))</w:t>
      </w:r>
      <w:r>
        <w:rPr/>
        <w:t xml:space="preserve"> </w:t>
      </w:r>
      <w:r>
        <w:rPr>
          <w:u w:val="single"/>
        </w:rPr>
        <w:t xml:space="preserve">a violation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u w:val="single"/>
        </w:rPr>
        <w:t xml:space="preserve">(c) Upon arraignment for a violation of this section, the court shall advise the defendant of the availability of the pretrial diversion program as indicated in section 8(1) of this act</w:t>
      </w:r>
      <w:r>
        <w:rPr/>
        <w:t xml:space="preserve">.</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u w:val="single"/>
        </w:rPr>
        <w:t xml:space="preserve">(3) Upon arraignment for violation of this section, the court shall advise the defendant of the availability of the pretrial diversion program as indicated in section 8(1)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In lieu of jail booking and referral to the prosecutor for a violation of this section involving knowing possession, law enforcement is encouraged to offer a referral to assessment and services available under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u w:val="single"/>
        </w:rPr>
        <w:t xml:space="preserve">(d) Upon arraignment for a violation of this section involving knowing possession, the court shall advise the defendant of the availability of the pretrial diversion program as indicated in section 8(1)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legal distribution of injection syringe equipment </w:t>
      </w:r>
      <w:r>
        <w:rPr>
          <w:u w:val="single"/>
        </w:rPr>
        <w:t xml:space="preserve">or smoking equipment</w:t>
      </w:r>
      <w:r>
        <w:rPr/>
        <w:t xml:space="preserve"> through public health and community</w:t>
      </w:r>
      <w:r>
        <w:rPr>
          <w:u w:val="single"/>
        </w:rPr>
        <w:t xml:space="preserve">-</w:t>
      </w:r>
      <w:r>
        <w:rPr/>
        <w:t xml:space="preserve">based HIV prevention programs, and pharmacies.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state of Washington hereby fully occupies and preempts the entire field of drug paraphernalia regulation within the boundaries of the state including regulation of the use, selling, giving, delivery, and possession of drug paraphernalia.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For any violation of RCW 69.50.4011(1)(b), 69.50.4013, 69.50.4014, or 69.41.030, the court shall advise the defendant and his or her attorney of the pretrial diversion program. This notification must include all of the following:</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69.50.4011(1)(b), 69.50.4013, 69.50.4014, or 69.41.030 that is charged, provided that the defendant pleads not guilty to the charge or charges, waives the right to a speedy trial and a trial by jury and that upon the defendant's successful completion of the program, as specified in subsection (9)(d) of this section, the positive recommendation of the program authority and motion of the defendant, prosecuting attorney, the court, or the probation department, but no sooner than 12 months and no later than 18 months from the date of the defendant's referral to the program, the court must dismiss the charge or charges against the defendant;</w:t>
      </w:r>
    </w:p>
    <w:p>
      <w:pPr>
        <w:spacing w:before="0" w:after="0" w:line="408" w:lineRule="exact"/>
        <w:ind w:left="0" w:right="0" w:firstLine="576"/>
        <w:jc w:val="left"/>
      </w:pPr>
      <w:r>
        <w:rPr/>
        <w:t xml:space="preserve">(d) A clear statement that upon any failure of treatment or condition under the program, the prosecuting attorney, the probation department, or the court may make a motion to terminate pretrial diversion and schedule further proceedings as otherwise provided in this section; and</w:t>
      </w:r>
    </w:p>
    <w:p>
      <w:pPr>
        <w:spacing w:before="0" w:after="0" w:line="408" w:lineRule="exact"/>
        <w:ind w:left="0" w:right="0" w:firstLine="576"/>
        <w:jc w:val="left"/>
      </w:pPr>
      <w:r>
        <w:rPr/>
        <w:t xml:space="preserve">(e) An explanation of criminal record retention and disposition resulting from participation in the pretrial diversion program and the defendant's rights relative to answering questions about his or her arrest and pretrial diversion following successful completion of the program.</w:t>
      </w:r>
    </w:p>
    <w:p>
      <w:pPr>
        <w:spacing w:before="0" w:after="0" w:line="408" w:lineRule="exact"/>
        <w:ind w:left="0" w:right="0" w:firstLine="576"/>
        <w:jc w:val="left"/>
      </w:pPr>
      <w:r>
        <w:rPr/>
        <w:t xml:space="preserve">(2) Upon a motion of the defendant and agreement to waive his or her right to a speedy trial and trial by jury if granted pretrial diversion, the court may grant the motion and continue the hearing and refer the defendant for a diagnostic investigation and evaluation to an approved substance use disorder treatment program as designated in chapter 71.24 RCW.</w:t>
      </w:r>
    </w:p>
    <w:p>
      <w:pPr>
        <w:spacing w:before="0" w:after="0" w:line="408" w:lineRule="exact"/>
        <w:ind w:left="0" w:right="0" w:firstLine="576"/>
        <w:jc w:val="left"/>
      </w:pPr>
      <w:r>
        <w:rPr/>
        <w:t xml:space="preserve">(3) The treatment program must make a written report to the court stating its findings and recommendations after the examination.</w:t>
      </w:r>
    </w:p>
    <w:p>
      <w:pPr>
        <w:spacing w:before="0" w:after="0" w:line="408" w:lineRule="exact"/>
        <w:ind w:left="0" w:right="0" w:firstLine="576"/>
        <w:jc w:val="left"/>
      </w:pPr>
      <w:r>
        <w:rPr/>
        <w:t xml:space="preserve">(4) The report with the treatment or service plan must be filed with the court and a copy given to the prosecutor, the defendant, and the defendant's counsel.</w:t>
      </w:r>
    </w:p>
    <w:p>
      <w:pPr>
        <w:spacing w:before="0" w:after="0" w:line="408" w:lineRule="exact"/>
        <w:ind w:left="0" w:right="0" w:firstLine="576"/>
        <w:jc w:val="left"/>
      </w:pPr>
      <w:r>
        <w:rPr/>
        <w:t xml:space="preserve">(5) Subject to the availability of funds appropriated for this purpose, the diagnostic investigation and evaluation and recommended treatment must be provided at no cost for individuals who have been found to be indigent by the court.</w:t>
      </w:r>
    </w:p>
    <w:p>
      <w:pPr>
        <w:spacing w:before="0" w:after="0" w:line="408" w:lineRule="exact"/>
        <w:ind w:left="0" w:right="0" w:firstLine="576"/>
        <w:jc w:val="left"/>
      </w:pPr>
      <w:r>
        <w:rPr/>
        <w:t xml:space="preserve">(6) No statement, or any information procured therefrom, made by the defendant to any treatment or service provider, that is made during the course of any investigation conducted by the treatment program pursuant to subsections (2) through (4) of this section, and before the reporting of the findings and recommendations to the court, must be admissible in any action or proceeding brought subsequent to the investigation.</w:t>
      </w:r>
    </w:p>
    <w:p>
      <w:pPr>
        <w:spacing w:before="0" w:after="0" w:line="408" w:lineRule="exact"/>
        <w:ind w:left="0" w:right="0" w:firstLine="576"/>
        <w:jc w:val="left"/>
      </w:pPr>
      <w:r>
        <w:rPr/>
        <w:t xml:space="preserve">(7) A defendant's participation in pretrial diversion under this section does not constitute a conviction or an admission of guilt for any purpose.</w:t>
      </w:r>
    </w:p>
    <w:p>
      <w:pPr>
        <w:spacing w:before="0" w:after="0" w:line="408" w:lineRule="exact"/>
        <w:ind w:left="0" w:right="0" w:firstLine="576"/>
        <w:jc w:val="left"/>
      </w:pPr>
      <w:r>
        <w:rPr/>
        <w:t xml:space="preserve">(8)(a) The court must hold a hearing and, after consideration of any information relevant to its decision, determine if the defendant consents to further proceedings under this section and if the defendant should be granted pretrial diversion. If the defendant does not consent to participate in pretrial diversion, the proceedings must continue as in any other case.</w:t>
      </w:r>
    </w:p>
    <w:p>
      <w:pPr>
        <w:spacing w:before="0" w:after="0" w:line="408" w:lineRule="exact"/>
        <w:ind w:left="0" w:right="0" w:firstLine="576"/>
        <w:jc w:val="left"/>
      </w:pPr>
      <w:r>
        <w:rPr/>
        <w:t xml:space="preserve">(b)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(c) The period during which pretrial diversion is granted must be for no less than 12 months and no longer than 18 months. However, the defendant may request, and the court must grant for good cause shown, an extension of time to complete a specified program.</w:t>
      </w:r>
    </w:p>
    <w:p>
      <w:pPr>
        <w:spacing w:before="0" w:after="0" w:line="408" w:lineRule="exact"/>
        <w:ind w:left="0" w:right="0" w:firstLine="576"/>
        <w:jc w:val="left"/>
      </w:pPr>
      <w:r>
        <w:rPr/>
        <w:t xml:space="preserve">(9)(a) If it appears to the prosecuting attorney, the court, or the probation department that the defendant is performing unsatisfactorily in the assigned program, that the defendant is convicted of an offense that reflects the defendant's propensity for violence, or that the defendant is convicted of a felony, the prosecuting attorney, the court on its own, or the probation department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If the court finds that the defendant is not performing satisfactorily in the assigned program, or the court finds that the defendant has been convicted of a crime as indicated in (a) of this subsection, the court must schedule the matter for further proceedings.</w:t>
      </w:r>
    </w:p>
    <w:p>
      <w:pPr>
        <w:spacing w:before="0" w:after="0" w:line="408" w:lineRule="exact"/>
        <w:ind w:left="0" w:right="0" w:firstLine="576"/>
        <w:jc w:val="left"/>
      </w:pPr>
      <w:r>
        <w:rPr/>
        <w:t xml:space="preserve">(d) If the defendant has successfully completed pretrial diversion, including all treatment requirements, at the end of that period, the criminal charge or charges must be dismissed.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An individual who is convicted of a violation of RCW 69.50.4011(1)(b), 69.50.4013, 69.50.4014, or 69.41.030 who subsequently completes an approved substance use disorder treatment program as designated in chapter 71.24 RCW and files proof of completion with the court may petition the court for vacation of the conviction or convictions. Upon verification that the individual successfully completed the substance use disorder treatment program,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must adopt rules by December 31, 2023, allowing a substance use disorder treatment program to establish off-site medication units which are:</w:t>
      </w:r>
    </w:p>
    <w:p>
      <w:pPr>
        <w:spacing w:before="0" w:after="0" w:line="408" w:lineRule="exact"/>
        <w:ind w:left="0" w:right="0" w:firstLine="576"/>
        <w:jc w:val="left"/>
      </w:pPr>
      <w:r>
        <w:rPr/>
        <w:t xml:space="preserve">(a) Located as a free-standing facility;</w:t>
      </w:r>
    </w:p>
    <w:p>
      <w:pPr>
        <w:spacing w:before="0" w:after="0" w:line="408" w:lineRule="exact"/>
        <w:ind w:left="0" w:right="0" w:firstLine="576"/>
        <w:jc w:val="left"/>
      </w:pPr>
      <w:r>
        <w:rPr/>
        <w:t xml:space="preserve">(b) Colocated in a community setting such as but not limited to a hospital, medical primary care system, pharmacy, federally qualified health center, or correctional health setting; or</w:t>
      </w:r>
    </w:p>
    <w:p>
      <w:pPr>
        <w:spacing w:before="0" w:after="0" w:line="408" w:lineRule="exact"/>
        <w:ind w:left="0" w:right="0" w:firstLine="576"/>
        <w:jc w:val="left"/>
      </w:pPr>
      <w:r>
        <w:rPr/>
        <w:t xml:space="preserve">(c) A mobile medication unit.</w:t>
      </w:r>
    </w:p>
    <w:p>
      <w:pPr>
        <w:spacing w:before="0" w:after="0" w:line="408" w:lineRule="exact"/>
        <w:ind w:left="0" w:right="0" w:firstLine="576"/>
        <w:jc w:val="left"/>
      </w:pPr>
      <w:r>
        <w:rPr/>
        <w:t xml:space="preserve">(2) The department must include invited stakeholders in the rule-making process which must include, but not be limited to, individuals from geographic regions in Washington with lower population density, eastern Washington, rural areas, and tribal nations.</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substance use disorder treatment programs including both mobile and fixed-site medication units, recovery residences, harm reduction programs, excluding safe injection sites, that emphasize working directly with people who use drugs to prevent overdose and infectious disease transmission, improve the physical, mental, and social well-being of those served, and offer low threshold options for accessing substance use disorder treatment and other health care services,</w:t>
      </w:r>
      <w:r>
        <w:rPr/>
        <w:t xml:space="preserve"> and inpatient facilities including substance abuse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 </w:t>
      </w:r>
      <w:r>
        <w:t>((</w:t>
      </w:r>
      <w:r>
        <w:rPr>
          <w:strike/>
        </w:rPr>
        <w:t xml:space="preserve">and</w:t>
      </w:r>
      <w:r>
        <w:t>))</w:t>
      </w:r>
    </w:p>
    <w:p>
      <w:pPr>
        <w:spacing w:before="0" w:after="0" w:line="408" w:lineRule="exact"/>
        <w:ind w:left="0" w:right="0" w:firstLine="576"/>
        <w:jc w:val="left"/>
      </w:pPr>
      <w:r>
        <w:rPr/>
        <w:t xml:space="preserve">(b) </w:t>
      </w:r>
      <w:r>
        <w:rPr>
          <w:u w:val="single"/>
        </w:rPr>
        <w:t xml:space="preserve">Is either a mobile or fixed-site medication unit; and</w:t>
      </w:r>
    </w:p>
    <w:p>
      <w:pPr>
        <w:spacing w:before="0" w:after="0" w:line="408" w:lineRule="exact"/>
        <w:ind w:left="0" w:right="0" w:firstLine="576"/>
        <w:jc w:val="left"/>
      </w:pPr>
      <w:r>
        <w:rPr>
          <w:u w:val="single"/>
        </w:rPr>
        <w:t xml:space="preserve">(c)</w:t>
      </w:r>
      <w:r>
        <w:rPr/>
        <w:t xml:space="preserve"> Provides a comprehensive range of medical and rehabilitative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programs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programs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
      <w:pPr>
        <w:jc w:val="center"/>
      </w:pPr>
      <w:r>
        <w:rPr>
          <w:b/>
        </w:rPr>
        <w:t>--- END ---</w:t>
      </w:r>
    </w:p>
    <w:sectPr>
      <w:pgNumType w:start="1"/>
      <w:footerReference xmlns:r="http://schemas.openxmlformats.org/officeDocument/2006/relationships" r:id="R641ad4e8a32c4d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d4ca5caff94098" /><Relationship Type="http://schemas.openxmlformats.org/officeDocument/2006/relationships/footer" Target="/word/footer1.xml" Id="R641ad4e8a32c4d2d" /></Relationships>
</file>